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bCs/>
          <w:sz w:val="28"/>
        </w:rPr>
      </w:pPr>
      <w:r>
        <w:rPr>
          <w:rFonts w:ascii="Times New Roman" w:hAnsi="Times New Roman" w:eastAsia="黑体" w:cs="Times New Roman"/>
          <w:bCs/>
          <w:sz w:val="28"/>
        </w:rPr>
        <w:drawing>
          <wp:anchor distT="0" distB="0" distL="114300" distR="114300" simplePos="0" relativeHeight="251665408" behindDoc="1" locked="0" layoutInCell="1" allowOverlap="1">
            <wp:simplePos x="0" y="0"/>
            <wp:positionH relativeFrom="column">
              <wp:posOffset>-2679065</wp:posOffset>
            </wp:positionH>
            <wp:positionV relativeFrom="paragraph">
              <wp:posOffset>663575</wp:posOffset>
            </wp:positionV>
            <wp:extent cx="10693400" cy="7560310"/>
            <wp:effectExtent l="0" t="0" r="2540" b="12700"/>
            <wp:wrapNone/>
            <wp:docPr id="3" name="图片 3" descr="20230627235214452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0627235214452_页面_2"/>
                    <pic:cNvPicPr>
                      <a:picLocks noChangeAspect="1"/>
                    </pic:cNvPicPr>
                  </pic:nvPicPr>
                  <pic:blipFill>
                    <a:blip r:embed="rId5"/>
                    <a:stretch>
                      <a:fillRect/>
                    </a:stretch>
                  </pic:blipFill>
                  <pic:spPr>
                    <a:xfrm rot="16200000">
                      <a:off x="0" y="0"/>
                      <a:ext cx="10693400" cy="7560310"/>
                    </a:xfrm>
                    <a:prstGeom prst="rect">
                      <a:avLst/>
                    </a:prstGeom>
                  </pic:spPr>
                </pic:pic>
              </a:graphicData>
            </a:graphic>
          </wp:anchor>
        </w:drawing>
      </w:r>
      <w:r>
        <w:rPr>
          <w:rFonts w:ascii="Times New Roman" w:hAnsi="Times New Roman" w:eastAsia="黑体" w:cs="Times New Roman"/>
          <w:bCs/>
          <w:sz w:val="28"/>
        </w:rPr>
        <w:br w:type="page"/>
      </w:r>
    </w:p>
    <w:p>
      <w:pPr>
        <w:widowControl/>
        <w:jc w:val="center"/>
        <w:rPr>
          <w:rFonts w:ascii="仿宋_GB2312" w:eastAsia="仿宋_GB2312" w:cs="仿宋_GB2312"/>
          <w:bCs/>
          <w:sz w:val="28"/>
          <w:szCs w:val="28"/>
        </w:rPr>
      </w:pPr>
      <w:bookmarkStart w:id="1" w:name="_GoBack"/>
      <w:bookmarkEnd w:id="1"/>
      <w:r>
        <w:rPr>
          <w:rFonts w:hint="eastAsia" w:ascii="黑体" w:hAnsi="黑体" w:eastAsia="黑体"/>
          <w:sz w:val="32"/>
          <w:szCs w:val="32"/>
        </w:rPr>
        <w:t xml:space="preserve">第一部分  </w:t>
      </w:r>
      <w:r>
        <w:rPr>
          <w:rFonts w:hint="eastAsia" w:ascii="黑体" w:hAnsi="黑体" w:eastAsia="黑体" w:cs="黑体"/>
          <w:bCs/>
          <w:sz w:val="32"/>
          <w:szCs w:val="32"/>
        </w:rPr>
        <w:t>年度报告编写提纲</w:t>
      </w:r>
      <w:r>
        <w:rPr>
          <w:rFonts w:hint="eastAsia" w:ascii="黑体" w:hAnsi="黑体" w:eastAsia="黑体" w:cs="仿宋_GB2312"/>
          <w:bCs/>
          <w:sz w:val="32"/>
          <w:szCs w:val="32"/>
        </w:rPr>
        <w:t>（限</w:t>
      </w:r>
      <w:r>
        <w:rPr>
          <w:rFonts w:hint="eastAsia" w:ascii="黑体" w:hAnsi="黑体" w:eastAsia="黑体"/>
          <w:bCs/>
          <w:sz w:val="32"/>
          <w:szCs w:val="32"/>
        </w:rPr>
        <w:t>3000</w:t>
      </w:r>
      <w:r>
        <w:rPr>
          <w:rFonts w:hint="eastAsia" w:ascii="黑体" w:hAnsi="黑体" w:eastAsia="黑体" w:cs="仿宋_GB2312"/>
          <w:bCs/>
          <w:sz w:val="32"/>
          <w:szCs w:val="32"/>
        </w:rPr>
        <w:t>字以内）</w:t>
      </w:r>
    </w:p>
    <w:p>
      <w:pPr>
        <w:spacing w:line="520" w:lineRule="exact"/>
        <w:ind w:firstLine="560" w:firstLineChars="200"/>
        <w:rPr>
          <w:rFonts w:ascii="黑体" w:hAnsi="黑体" w:eastAsia="黑体" w:cs="仿宋_GB2312"/>
          <w:sz w:val="28"/>
          <w:szCs w:val="28"/>
        </w:rPr>
      </w:pPr>
      <w:r>
        <w:rPr>
          <w:rFonts w:hint="eastAsia" w:ascii="黑体" w:hAnsi="黑体" w:eastAsia="黑体" w:cs="仿宋_GB2312"/>
          <w:sz w:val="28"/>
          <w:szCs w:val="28"/>
        </w:rPr>
        <w:t>一、人才培养工作和成效</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（一）人才培养基本情况</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2</w:t>
      </w:r>
      <w:r>
        <w:rPr>
          <w:rFonts w:ascii="楷体" w:hAnsi="楷体" w:eastAsia="楷体" w:cs="楷体"/>
          <w:sz w:val="28"/>
          <w:szCs w:val="28"/>
        </w:rPr>
        <w:t>0</w:t>
      </w:r>
      <w:r>
        <w:rPr>
          <w:rFonts w:hint="eastAsia" w:ascii="楷体" w:hAnsi="楷体" w:eastAsia="楷体" w:cs="楷体"/>
          <w:sz w:val="28"/>
          <w:szCs w:val="28"/>
        </w:rPr>
        <w:t>22</w:t>
      </w:r>
      <w:r>
        <w:rPr>
          <w:rFonts w:ascii="楷体" w:hAnsi="楷体" w:eastAsia="楷体" w:cs="楷体"/>
          <w:sz w:val="28"/>
          <w:szCs w:val="28"/>
        </w:rPr>
        <w:t>年是</w:t>
      </w:r>
      <w:r>
        <w:rPr>
          <w:rFonts w:hint="eastAsia" w:ascii="楷体" w:hAnsi="楷体" w:eastAsia="楷体" w:cs="楷体"/>
          <w:sz w:val="28"/>
          <w:szCs w:val="28"/>
        </w:rPr>
        <w:t>不断突破、创新</w:t>
      </w:r>
      <w:r>
        <w:rPr>
          <w:rFonts w:ascii="楷体" w:hAnsi="楷体" w:eastAsia="楷体" w:cs="楷体"/>
          <w:sz w:val="28"/>
          <w:szCs w:val="28"/>
        </w:rPr>
        <w:t>的一年</w:t>
      </w:r>
      <w:r>
        <w:rPr>
          <w:rFonts w:hint="eastAsia" w:ascii="楷体" w:hAnsi="楷体" w:eastAsia="楷体" w:cs="楷体"/>
          <w:sz w:val="28"/>
          <w:szCs w:val="28"/>
        </w:rPr>
        <w:t>，示范中心紧紧围绕学校的“双升战略”提出了“打造新生态、增加新内涵、赋能高质量”的建设目标，开展人才培养模式的探索与实践。中心以持续推进学校本科教育高质量发展为目标，以经济管理国家级实验教学示范中心深化改革为突破口，以“全方位、全过程、全覆盖”为抓手，逐渐形成了适应新时代对人才新需求的实验教学体系。</w:t>
      </w:r>
    </w:p>
    <w:p>
      <w:pPr>
        <w:snapToGrid w:val="0"/>
        <w:spacing w:line="520" w:lineRule="exact"/>
        <w:ind w:firstLine="560" w:firstLineChars="200"/>
        <w:rPr>
          <w:rFonts w:ascii="楷体" w:hAnsi="楷体" w:eastAsia="楷体" w:cs="楷体"/>
          <w:sz w:val="28"/>
          <w:szCs w:val="28"/>
        </w:rPr>
      </w:pPr>
      <w:r>
        <w:rPr>
          <w:rFonts w:hint="eastAsia" w:ascii="楷体" w:hAnsi="楷体" w:eastAsia="楷体" w:cs="楷体"/>
          <w:sz w:val="28"/>
          <w:szCs w:val="28"/>
        </w:rPr>
        <w:t>《经营管理综合仿真实习》《企业沙盘推演（初级）》《企业资源计划Ⅱ》已平稳运行，这标志着跨专业实验教学课程已进入新的阶段。在校领导、各部门、各学院支持下，三门课程</w:t>
      </w:r>
      <w:r>
        <w:rPr>
          <w:rFonts w:ascii="楷体" w:hAnsi="楷体" w:eastAsia="楷体" w:cs="楷体"/>
          <w:sz w:val="28"/>
          <w:szCs w:val="28"/>
        </w:rPr>
        <w:t>顺利开展教学，受到各方一致好评。</w:t>
      </w:r>
    </w:p>
    <w:p>
      <w:pPr>
        <w:snapToGrid w:val="0"/>
        <w:spacing w:line="520" w:lineRule="exact"/>
        <w:ind w:firstLine="560" w:firstLineChars="200"/>
        <w:rPr>
          <w:rFonts w:ascii="楷体" w:hAnsi="楷体" w:eastAsia="楷体" w:cs="楷体"/>
          <w:sz w:val="28"/>
          <w:szCs w:val="28"/>
        </w:rPr>
      </w:pPr>
      <w:r>
        <w:rPr>
          <w:rFonts w:hint="eastAsia" w:ascii="楷体" w:hAnsi="楷体" w:eastAsia="楷体" w:cs="楷体"/>
          <w:sz w:val="28"/>
          <w:szCs w:val="28"/>
        </w:rPr>
        <w:t>202</w:t>
      </w:r>
      <w:r>
        <w:rPr>
          <w:rFonts w:ascii="楷体" w:hAnsi="楷体" w:eastAsia="楷体" w:cs="楷体"/>
          <w:sz w:val="28"/>
          <w:szCs w:val="28"/>
        </w:rPr>
        <w:t>2</w:t>
      </w:r>
      <w:r>
        <w:rPr>
          <w:rFonts w:hint="eastAsia" w:ascii="楷体" w:hAnsi="楷体" w:eastAsia="楷体" w:cs="楷体"/>
          <w:sz w:val="28"/>
          <w:szCs w:val="28"/>
        </w:rPr>
        <w:t>年度中心实验教学课程面向38个专业、13</w:t>
      </w:r>
      <w:r>
        <w:rPr>
          <w:rFonts w:ascii="楷体" w:hAnsi="楷体" w:eastAsia="楷体" w:cs="楷体"/>
          <w:sz w:val="28"/>
          <w:szCs w:val="28"/>
        </w:rPr>
        <w:t>866</w:t>
      </w:r>
      <w:r>
        <w:rPr>
          <w:rFonts w:hint="eastAsia" w:ascii="楷体" w:hAnsi="楷体" w:eastAsia="楷体" w:cs="楷体"/>
          <w:sz w:val="28"/>
          <w:szCs w:val="28"/>
        </w:rPr>
        <w:t>名本硕学生进行实验、实践教学，达到</w:t>
      </w:r>
      <w:r>
        <w:rPr>
          <w:rFonts w:ascii="楷体" w:hAnsi="楷体" w:eastAsia="楷体" w:cs="楷体"/>
          <w:sz w:val="28"/>
          <w:szCs w:val="28"/>
        </w:rPr>
        <w:t>625546</w:t>
      </w:r>
      <w:r>
        <w:rPr>
          <w:rFonts w:hint="eastAsia" w:ascii="楷体" w:hAnsi="楷体" w:eastAsia="楷体" w:cs="楷体"/>
          <w:sz w:val="28"/>
          <w:szCs w:val="28"/>
        </w:rPr>
        <w:t>人时数。同时，注重加强实验教学资源建设，独立开设学分的实验课程</w:t>
      </w:r>
      <w:r>
        <w:rPr>
          <w:rFonts w:ascii="楷体" w:hAnsi="楷体" w:eastAsia="楷体" w:cs="楷体"/>
          <w:sz w:val="28"/>
          <w:szCs w:val="28"/>
        </w:rPr>
        <w:t>110</w:t>
      </w:r>
      <w:r>
        <w:rPr>
          <w:rFonts w:hint="eastAsia" w:ascii="楷体" w:hAnsi="楷体" w:eastAsia="楷体" w:cs="楷体"/>
          <w:sz w:val="28"/>
          <w:szCs w:val="28"/>
        </w:rPr>
        <w:t>门，实验项目资源总数159</w:t>
      </w:r>
      <w:r>
        <w:rPr>
          <w:rFonts w:ascii="楷体" w:hAnsi="楷体" w:eastAsia="楷体" w:cs="楷体"/>
          <w:sz w:val="28"/>
          <w:szCs w:val="28"/>
        </w:rPr>
        <w:t>3</w:t>
      </w:r>
      <w:r>
        <w:rPr>
          <w:rFonts w:hint="eastAsia" w:ascii="楷体" w:hAnsi="楷体" w:eastAsia="楷体" w:cs="楷体"/>
          <w:sz w:val="28"/>
          <w:szCs w:val="28"/>
        </w:rPr>
        <w:t>个，开设实验项目数</w:t>
      </w:r>
      <w:r>
        <w:rPr>
          <w:rFonts w:ascii="楷体" w:hAnsi="楷体" w:eastAsia="楷体" w:cs="楷体"/>
          <w:sz w:val="28"/>
          <w:szCs w:val="28"/>
        </w:rPr>
        <w:t>464</w:t>
      </w:r>
      <w:r>
        <w:rPr>
          <w:rFonts w:hint="eastAsia" w:ascii="楷体" w:hAnsi="楷体" w:eastAsia="楷体" w:cs="楷体"/>
          <w:sz w:val="28"/>
          <w:szCs w:val="28"/>
        </w:rPr>
        <w:t>个，新增实验教学教材</w:t>
      </w:r>
      <w:r>
        <w:rPr>
          <w:rFonts w:ascii="楷体" w:hAnsi="楷体" w:eastAsia="楷体" w:cs="楷体"/>
          <w:sz w:val="28"/>
          <w:szCs w:val="28"/>
        </w:rPr>
        <w:t>2</w:t>
      </w:r>
      <w:r>
        <w:rPr>
          <w:rFonts w:hint="eastAsia" w:ascii="楷体" w:hAnsi="楷体" w:eastAsia="楷体" w:cs="楷体"/>
          <w:sz w:val="28"/>
          <w:szCs w:val="28"/>
        </w:rPr>
        <w:t>本。</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（二）人才培养成效评价等</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中心始终以实验教学深化改革为主线，在前期自我发展的基础上，有序推进转型改革，通过理念构建、体系探索、路径突破三个方面协同推进的方式，经过动态调整与完善，创立了实验教学协同生态体系。由示范中心主任付宏副校长牵头，实验教学中心为主体申报的《“大协同+深融合+新赋能”的地方高校经济管理实验教学新生态创新与实践》教学成果获湖北省第九届教学成果（高等教育类）一等奖。由山东财经大学牵头，我校作为第二参与单位完成的《面向新商科的数智化实验教学新生态建设与应用》教学成果获山东省第九届教学成果（高等教育类）一等奖。由山东大学牵头，我校作为第三参与单位完成的《立德树人导向的经管学科“一二三”实验案例教学模式创新》教学成果获山东省第九届教学成果（高等教育类）二等奖。</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在课程建设方面，实验课程不断完善，有序衔接，形成了良好的教学生态。《经营管理综合仿真实习》课程建设不断完善，完成了在线课程微课建设和课程教材初稿编写工作。</w:t>
      </w:r>
      <w:r>
        <w:rPr>
          <w:rFonts w:ascii="楷体" w:hAnsi="楷体" w:eastAsia="楷体" w:cs="楷体"/>
          <w:sz w:val="28"/>
          <w:szCs w:val="28"/>
        </w:rPr>
        <w:t>7个学院2296名学生分两个时间段进行了跨专业形式的教学。</w:t>
      </w:r>
      <w:r>
        <w:rPr>
          <w:rFonts w:hint="eastAsia" w:ascii="楷体" w:hAnsi="楷体" w:eastAsia="楷体" w:cs="楷体"/>
          <w:sz w:val="28"/>
          <w:szCs w:val="28"/>
        </w:rPr>
        <w:t>中</w:t>
      </w:r>
      <w:r>
        <w:rPr>
          <w:rFonts w:ascii="楷体" w:hAnsi="楷体" w:eastAsia="楷体" w:cs="楷体"/>
          <w:sz w:val="28"/>
          <w:szCs w:val="28"/>
        </w:rPr>
        <w:t>心明确岗位职责，组织</w:t>
      </w:r>
      <w:r>
        <w:rPr>
          <w:rFonts w:hint="eastAsia" w:ascii="楷体" w:hAnsi="楷体" w:eastAsia="楷体" w:cs="楷体"/>
          <w:sz w:val="28"/>
          <w:szCs w:val="28"/>
        </w:rPr>
        <w:t>全</w:t>
      </w:r>
      <w:r>
        <w:rPr>
          <w:rFonts w:ascii="楷体" w:hAnsi="楷体" w:eastAsia="楷体" w:cs="楷体"/>
          <w:sz w:val="28"/>
          <w:szCs w:val="28"/>
        </w:rPr>
        <w:t>体教师</w:t>
      </w:r>
      <w:r>
        <w:rPr>
          <w:rFonts w:hint="eastAsia" w:ascii="楷体" w:hAnsi="楷体" w:eastAsia="楷体" w:cs="楷体"/>
          <w:sz w:val="28"/>
          <w:szCs w:val="28"/>
        </w:rPr>
        <w:t>暑期</w:t>
      </w:r>
      <w:r>
        <w:rPr>
          <w:rFonts w:ascii="楷体" w:hAnsi="楷体" w:eastAsia="楷体" w:cs="楷体"/>
          <w:sz w:val="28"/>
          <w:szCs w:val="28"/>
        </w:rPr>
        <w:t>集体备课，</w:t>
      </w:r>
      <w:r>
        <w:rPr>
          <w:rFonts w:hint="eastAsia" w:ascii="楷体" w:hAnsi="楷体" w:eastAsia="楷体" w:cs="楷体"/>
          <w:sz w:val="28"/>
          <w:szCs w:val="28"/>
        </w:rPr>
        <w:t>针对</w:t>
      </w:r>
      <w:r>
        <w:rPr>
          <w:rFonts w:ascii="楷体" w:hAnsi="楷体" w:eastAsia="楷体" w:cs="楷体"/>
          <w:sz w:val="28"/>
          <w:szCs w:val="28"/>
        </w:rPr>
        <w:t>课程</w:t>
      </w:r>
      <w:r>
        <w:rPr>
          <w:rFonts w:hint="eastAsia" w:ascii="楷体" w:hAnsi="楷体" w:eastAsia="楷体" w:cs="楷体"/>
          <w:sz w:val="28"/>
          <w:szCs w:val="28"/>
        </w:rPr>
        <w:t>新</w:t>
      </w:r>
      <w:r>
        <w:rPr>
          <w:rFonts w:ascii="楷体" w:hAnsi="楷体" w:eastAsia="楷体" w:cs="楷体"/>
          <w:sz w:val="28"/>
          <w:szCs w:val="28"/>
        </w:rPr>
        <w:t>的需求</w:t>
      </w:r>
      <w:r>
        <w:rPr>
          <w:rFonts w:hint="eastAsia" w:ascii="楷体" w:hAnsi="楷体" w:eastAsia="楷体" w:cs="楷体"/>
          <w:sz w:val="28"/>
          <w:szCs w:val="28"/>
        </w:rPr>
        <w:t>，</w:t>
      </w:r>
      <w:r>
        <w:rPr>
          <w:rFonts w:ascii="楷体" w:hAnsi="楷体" w:eastAsia="楷体" w:cs="楷体"/>
          <w:sz w:val="28"/>
          <w:szCs w:val="28"/>
        </w:rPr>
        <w:t>结合课程前</w:t>
      </w:r>
      <w:r>
        <w:rPr>
          <w:rFonts w:hint="eastAsia" w:ascii="楷体" w:hAnsi="楷体" w:eastAsia="楷体" w:cs="楷体"/>
          <w:sz w:val="28"/>
          <w:szCs w:val="28"/>
        </w:rPr>
        <w:t>三</w:t>
      </w:r>
      <w:r>
        <w:rPr>
          <w:rFonts w:ascii="楷体" w:hAnsi="楷体" w:eastAsia="楷体" w:cs="楷体"/>
          <w:sz w:val="28"/>
          <w:szCs w:val="28"/>
        </w:rPr>
        <w:t>年运行情况，对课程</w:t>
      </w:r>
      <w:r>
        <w:rPr>
          <w:rFonts w:hint="eastAsia" w:ascii="楷体" w:hAnsi="楷体" w:eastAsia="楷体" w:cs="楷体"/>
          <w:sz w:val="28"/>
          <w:szCs w:val="28"/>
        </w:rPr>
        <w:t>进行</w:t>
      </w:r>
      <w:r>
        <w:rPr>
          <w:rFonts w:ascii="楷体" w:hAnsi="楷体" w:eastAsia="楷体" w:cs="楷体"/>
          <w:sz w:val="28"/>
          <w:szCs w:val="28"/>
        </w:rPr>
        <w:t>了大量优化，</w:t>
      </w:r>
      <w:r>
        <w:rPr>
          <w:rFonts w:hint="eastAsia" w:ascii="楷体" w:hAnsi="楷体" w:eastAsia="楷体" w:cs="楷体"/>
          <w:sz w:val="28"/>
          <w:szCs w:val="28"/>
        </w:rPr>
        <w:t>通过增</w:t>
      </w:r>
      <w:r>
        <w:rPr>
          <w:rFonts w:ascii="楷体" w:hAnsi="楷体" w:eastAsia="楷体" w:cs="楷体"/>
          <w:sz w:val="28"/>
          <w:szCs w:val="28"/>
        </w:rPr>
        <w:t>加</w:t>
      </w:r>
      <w:r>
        <w:rPr>
          <w:rFonts w:hint="eastAsia" w:ascii="楷体" w:hAnsi="楷体" w:eastAsia="楷体" w:cs="楷体"/>
          <w:sz w:val="28"/>
          <w:szCs w:val="28"/>
        </w:rPr>
        <w:t>实习</w:t>
      </w:r>
      <w:r>
        <w:rPr>
          <w:rFonts w:ascii="楷体" w:hAnsi="楷体" w:eastAsia="楷体" w:cs="楷体"/>
          <w:sz w:val="28"/>
          <w:szCs w:val="28"/>
        </w:rPr>
        <w:t>组织机构</w:t>
      </w:r>
      <w:r>
        <w:rPr>
          <w:rFonts w:hint="eastAsia" w:ascii="楷体" w:hAnsi="楷体" w:eastAsia="楷体" w:cs="楷体"/>
          <w:sz w:val="28"/>
          <w:szCs w:val="28"/>
        </w:rPr>
        <w:t>、将素质拓展融入课程、注重课程思政、引入大数据技术、引入新的会计要素与科目表、培养法律意识、线上</w:t>
      </w:r>
      <w:r>
        <w:rPr>
          <w:rFonts w:ascii="楷体" w:hAnsi="楷体" w:eastAsia="楷体" w:cs="楷体"/>
          <w:sz w:val="28"/>
          <w:szCs w:val="28"/>
        </w:rPr>
        <w:t>线下同步</w:t>
      </w:r>
      <w:r>
        <w:rPr>
          <w:rFonts w:hint="eastAsia" w:ascii="楷体" w:hAnsi="楷体" w:eastAsia="楷体" w:cs="楷体"/>
          <w:sz w:val="28"/>
          <w:szCs w:val="28"/>
        </w:rPr>
        <w:t>实习、优化</w:t>
      </w:r>
      <w:r>
        <w:rPr>
          <w:rFonts w:ascii="楷体" w:hAnsi="楷体" w:eastAsia="楷体" w:cs="楷体"/>
          <w:sz w:val="28"/>
          <w:szCs w:val="28"/>
        </w:rPr>
        <w:t>实习平台</w:t>
      </w:r>
      <w:r>
        <w:rPr>
          <w:rFonts w:hint="eastAsia" w:ascii="楷体" w:hAnsi="楷体" w:eastAsia="楷体" w:cs="楷体"/>
          <w:sz w:val="28"/>
          <w:szCs w:val="28"/>
        </w:rPr>
        <w:t>等8个方面进行完善创新</w:t>
      </w:r>
      <w:r>
        <w:rPr>
          <w:rFonts w:ascii="楷体" w:hAnsi="楷体" w:eastAsia="楷体" w:cs="楷体"/>
          <w:sz w:val="28"/>
          <w:szCs w:val="28"/>
        </w:rPr>
        <w:t>。</w:t>
      </w:r>
      <w:r>
        <w:rPr>
          <w:rFonts w:hint="eastAsia" w:ascii="楷体" w:hAnsi="楷体" w:eastAsia="楷体" w:cs="楷体"/>
          <w:sz w:val="28"/>
          <w:szCs w:val="28"/>
        </w:rPr>
        <w:t>《企业资源计划Ⅱ》课程通过提升加强教师能力、实验内容，课堂管控、答疑辅导、教务管理、技术保障等6个方面，顺利完成了教学工作，课程无负面投诉。《企业沙</w:t>
      </w:r>
      <w:r>
        <w:rPr>
          <w:rFonts w:ascii="楷体" w:hAnsi="楷体" w:eastAsia="楷体" w:cs="楷体"/>
          <w:sz w:val="28"/>
          <w:szCs w:val="28"/>
        </w:rPr>
        <w:t>盘推演</w:t>
      </w:r>
      <w:r>
        <w:rPr>
          <w:rFonts w:hint="eastAsia" w:ascii="楷体" w:hAnsi="楷体" w:eastAsia="楷体" w:cs="楷体"/>
          <w:sz w:val="28"/>
          <w:szCs w:val="28"/>
        </w:rPr>
        <w:t>（初</w:t>
      </w:r>
      <w:r>
        <w:rPr>
          <w:rFonts w:ascii="楷体" w:hAnsi="楷体" w:eastAsia="楷体" w:cs="楷体"/>
          <w:sz w:val="28"/>
          <w:szCs w:val="28"/>
        </w:rPr>
        <w:t>级）</w:t>
      </w:r>
      <w:r>
        <w:rPr>
          <w:rFonts w:hint="eastAsia" w:ascii="楷体" w:hAnsi="楷体" w:eastAsia="楷体" w:cs="楷体"/>
          <w:sz w:val="28"/>
          <w:szCs w:val="28"/>
        </w:rPr>
        <w:t>》通过调整优化教学时段、经营规则、服务器管理、学生助理选配，完成课程慕课建设，制作课程指导手册，顺利完成本校新</w:t>
      </w:r>
      <w:r>
        <w:rPr>
          <w:rFonts w:ascii="楷体" w:hAnsi="楷体" w:eastAsia="楷体" w:cs="楷体"/>
          <w:sz w:val="28"/>
          <w:szCs w:val="28"/>
        </w:rPr>
        <w:t>生</w:t>
      </w:r>
      <w:r>
        <w:rPr>
          <w:rFonts w:hint="eastAsia" w:ascii="楷体" w:hAnsi="楷体" w:eastAsia="楷体" w:cs="楷体"/>
          <w:sz w:val="28"/>
          <w:szCs w:val="28"/>
        </w:rPr>
        <w:t>5</w:t>
      </w:r>
      <w:r>
        <w:rPr>
          <w:rFonts w:ascii="楷体" w:hAnsi="楷体" w:eastAsia="楷体" w:cs="楷体"/>
          <w:sz w:val="28"/>
          <w:szCs w:val="28"/>
        </w:rPr>
        <w:t>0</w:t>
      </w:r>
      <w:r>
        <w:rPr>
          <w:rFonts w:hint="eastAsia" w:ascii="楷体" w:hAnsi="楷体" w:eastAsia="楷体" w:cs="楷体"/>
          <w:sz w:val="28"/>
          <w:szCs w:val="28"/>
        </w:rPr>
        <w:t>00余</w:t>
      </w:r>
      <w:r>
        <w:rPr>
          <w:rFonts w:ascii="楷体" w:hAnsi="楷体" w:eastAsia="楷体" w:cs="楷体"/>
          <w:sz w:val="28"/>
          <w:szCs w:val="28"/>
        </w:rPr>
        <w:t>名</w:t>
      </w:r>
      <w:r>
        <w:rPr>
          <w:rFonts w:hint="eastAsia" w:ascii="楷体" w:hAnsi="楷体" w:eastAsia="楷体" w:cs="楷体"/>
          <w:sz w:val="28"/>
          <w:szCs w:val="28"/>
        </w:rPr>
        <w:t>。</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同时，顺利完成“数字化赋能”微专业建设和招生工作。“数字化赋能”微专业目前招收学生</w:t>
      </w:r>
      <w:r>
        <w:rPr>
          <w:rFonts w:ascii="楷体" w:hAnsi="楷体" w:eastAsia="楷体" w:cs="楷体"/>
          <w:sz w:val="28"/>
          <w:szCs w:val="28"/>
        </w:rPr>
        <w:t>42名，并与金蝶公司展开战略合作，双方在就业育人及</w:t>
      </w:r>
      <w:r>
        <w:rPr>
          <w:rFonts w:hint="eastAsia" w:ascii="楷体" w:hAnsi="楷体" w:eastAsia="楷体" w:cs="楷体"/>
          <w:sz w:val="28"/>
          <w:szCs w:val="28"/>
        </w:rPr>
        <w:t>“</w:t>
      </w:r>
      <w:r>
        <w:rPr>
          <w:rFonts w:ascii="楷体" w:hAnsi="楷体" w:eastAsia="楷体" w:cs="楷体"/>
          <w:sz w:val="28"/>
          <w:szCs w:val="28"/>
        </w:rPr>
        <w:t>双百计划</w:t>
      </w:r>
      <w:r>
        <w:rPr>
          <w:rFonts w:hint="eastAsia" w:ascii="楷体" w:hAnsi="楷体" w:eastAsia="楷体" w:cs="楷体"/>
          <w:sz w:val="28"/>
          <w:szCs w:val="28"/>
        </w:rPr>
        <w:t>”</w:t>
      </w:r>
      <w:r>
        <w:rPr>
          <w:rFonts w:ascii="楷体" w:hAnsi="楷体" w:eastAsia="楷体" w:cs="楷体"/>
          <w:sz w:val="28"/>
          <w:szCs w:val="28"/>
        </w:rPr>
        <w:t>方面进行了项目申报工作。</w:t>
      </w:r>
    </w:p>
    <w:p>
      <w:pPr>
        <w:spacing w:line="520" w:lineRule="exact"/>
        <w:ind w:firstLine="560" w:firstLineChars="200"/>
        <w:rPr>
          <w:rFonts w:ascii="黑体" w:hAnsi="黑体" w:eastAsia="黑体" w:cs="仿宋_GB2312"/>
          <w:sz w:val="28"/>
          <w:szCs w:val="28"/>
        </w:rPr>
      </w:pPr>
      <w:r>
        <w:rPr>
          <w:rFonts w:hint="eastAsia" w:ascii="黑体" w:hAnsi="黑体" w:eastAsia="黑体" w:cs="仿宋_GB2312"/>
          <w:sz w:val="28"/>
          <w:szCs w:val="28"/>
        </w:rPr>
        <w:t>二、人才队伍建设</w:t>
      </w:r>
    </w:p>
    <w:p>
      <w:pPr>
        <w:spacing w:line="520" w:lineRule="exact"/>
        <w:ind w:firstLine="560" w:firstLineChars="200"/>
        <w:rPr>
          <w:rFonts w:ascii="黑体" w:hAnsi="黑体" w:eastAsia="黑体" w:cs="仿宋_GB2312"/>
          <w:sz w:val="28"/>
          <w:szCs w:val="28"/>
        </w:rPr>
      </w:pPr>
      <w:r>
        <w:rPr>
          <w:rFonts w:hint="eastAsia" w:ascii="黑体" w:hAnsi="黑体" w:eastAsia="黑体" w:cs="仿宋_GB2312"/>
          <w:sz w:val="28"/>
          <w:szCs w:val="28"/>
        </w:rPr>
        <w:t>（一）队伍建设基本情况</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中心现有专职人员47人，由实验教学设计、实施、管理和技术四类岗位构成。由中心直接管理并纳入实验教学教研室进行管理的实验教学团队师资有20</w:t>
      </w:r>
      <w:r>
        <w:rPr>
          <w:rFonts w:ascii="楷体" w:hAnsi="楷体" w:eastAsia="楷体" w:cs="楷体"/>
          <w:sz w:val="28"/>
          <w:szCs w:val="28"/>
        </w:rPr>
        <w:t>9</w:t>
      </w:r>
      <w:r>
        <w:rPr>
          <w:rFonts w:hint="eastAsia" w:ascii="楷体" w:hAnsi="楷体" w:eastAsia="楷体" w:cs="楷体"/>
          <w:sz w:val="28"/>
          <w:szCs w:val="28"/>
        </w:rPr>
        <w:t>人（含专职及兼职人员），其中核心成员70余人，具有博士学位师资159人，副高以上职称教师171人。中心围绕四个方面组建了一支知识面宽、实践能力强、结构合理的高素质实验教学队伍：一是吸纳一线骨干专职教师，加强经济管理类教学与科学研究、实验实践教学，提高经济管理类人才培养质量；二是组建由实验教学中心和教务处专职人员构成的实验教学管理团队，加强中心自身建设、实验实践教学管理；三是组建实验教学保障团队，提供中心建设、日常运维的信息技术支持；四是聘请一定的相关政府部门专家、行业企业兼职专家和其它高校专家担任示范中心教指委委员，加强中心校政行企合作，更好地服务于适应经济社会发展需求的应用型人才培养。</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（二）队伍建设的举措与取得的成绩等</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改革需要人才，为了吸引校内外优秀人才，中心领导多次向校领导与职能部门汇报沟通，完成了中心下属教研室的更名及人员调整，努力用真诚与热心打动并引进校内外优秀教师，打造了较为完整的基层教学组织。根据学校有关部署，创新创业学院与实验教学中心合署办公，示范中心及时调整人员引进计划，进一步优化结构、强化队伍。从学校实际情况出发，制定了《湖北经济学院实验教学中心“十四五”师资团队发展规划》，努力推进各项实验教学人员改革，建立适合我校的师资团队和管理服务团队。通过改革实验教学方法、重构实验教学体系、整合实验教学资源、优化实验教学流程、创新实验教学平台、打造实验教学团队，稳健有序地推进学校实验教学和双创教育转型升级改革。中心坚持育人为本，尽力为老师提供广阔发展平台。2022年11月，中心教师获评湖北省经济管理“十佳优秀实验教师”。中心教师指导的学生团队在各项比赛中取得了历史性的突破，均获得学校参赛最好成绩。还有一批教师在科学研究、教学成果、教学竞赛、平台建设、实验室建设等方面取得了突出成绩。同时，加强同兄弟院校交流，先后组织了1</w:t>
      </w:r>
      <w:r>
        <w:rPr>
          <w:rFonts w:ascii="楷体" w:hAnsi="楷体" w:eastAsia="楷体" w:cs="楷体"/>
          <w:sz w:val="28"/>
          <w:szCs w:val="28"/>
        </w:rPr>
        <w:t>3</w:t>
      </w:r>
      <w:r>
        <w:rPr>
          <w:rFonts w:hint="eastAsia" w:ascii="楷体" w:hAnsi="楷体" w:eastAsia="楷体" w:cs="楷体"/>
          <w:sz w:val="28"/>
          <w:szCs w:val="28"/>
        </w:rPr>
        <w:t>批</w:t>
      </w:r>
      <w:r>
        <w:rPr>
          <w:rFonts w:ascii="楷体" w:hAnsi="楷体" w:eastAsia="楷体" w:cs="楷体"/>
          <w:sz w:val="28"/>
          <w:szCs w:val="28"/>
        </w:rPr>
        <w:t>61</w:t>
      </w:r>
      <w:r>
        <w:rPr>
          <w:rFonts w:hint="eastAsia" w:ascii="楷体" w:hAnsi="楷体" w:eastAsia="楷体" w:cs="楷体"/>
          <w:sz w:val="28"/>
          <w:szCs w:val="28"/>
        </w:rPr>
        <w:t>人次的交流活动，参加了</w:t>
      </w:r>
      <w:r>
        <w:rPr>
          <w:rFonts w:ascii="楷体" w:hAnsi="楷体" w:eastAsia="楷体" w:cs="楷体"/>
          <w:sz w:val="28"/>
          <w:szCs w:val="28"/>
        </w:rPr>
        <w:t>22</w:t>
      </w:r>
      <w:r>
        <w:rPr>
          <w:rFonts w:hint="eastAsia" w:ascii="楷体" w:hAnsi="楷体" w:eastAsia="楷体" w:cs="楷体"/>
          <w:sz w:val="28"/>
          <w:szCs w:val="28"/>
        </w:rPr>
        <w:t>次国内国际实验教学研讨会，有效提升了实验教师能力与水平。组织参加全国经管实验教学案例大赛，通过全校征集优秀实验案例，对促进更多教师开展实验教学研究产生积极影响，2个案例获国家级三等奖。</w:t>
      </w:r>
    </w:p>
    <w:p>
      <w:pPr>
        <w:spacing w:line="520" w:lineRule="exact"/>
        <w:ind w:firstLine="560" w:firstLineChars="200"/>
        <w:rPr>
          <w:rFonts w:ascii="黑体" w:hAnsi="黑体" w:eastAsia="黑体" w:cs="仿宋_GB2312"/>
          <w:sz w:val="28"/>
          <w:szCs w:val="28"/>
        </w:rPr>
      </w:pPr>
      <w:r>
        <w:rPr>
          <w:rFonts w:hint="eastAsia" w:ascii="黑体" w:hAnsi="黑体" w:eastAsia="黑体" w:cs="仿宋_GB2312"/>
          <w:sz w:val="28"/>
          <w:szCs w:val="28"/>
        </w:rPr>
        <w:t>三、教学改革与科学研究</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（一）教学改革情况</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1.在教学管理中，严格执行学校和中心关于实验教学运行的各项规定，认真落实教学计划的实施，安排好每学期的教学任务和进度，做好授课计划、教案、讲稿、试卷、成绩等方面的规范化管理，教学资料的收集、整理和归档，顺利通过学校各项教学检查。注重保持与学校主管领导、教学主管部门、各学院分管领导和任课教师的良好沟通，确保了实验教学秩序稳定，全年无教学事故或其他异常情况发生。</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2.积极推进基层教学组织建设，加强指导和督促中心三个A类基层教学组织和两个B类基层教学组织的建设和管理。“虚拟仿真实验教研室”获评湖北经济学院2022年度基层教学组织考核优秀。</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3.有效组织教学成果的培育和申报。作为主要成员参与的《“大协同+深融合+新赋能”的地方高校经济管理实验教学新生态创新与实践》获第九届湖北省高等学校教学成果奖一等奖。《湖北日报》2022年11月3日第10版整版刊发介绍该成果的文章《湖北经济学院：探索构建经管类实验教学新体系》。</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4</w:t>
      </w:r>
      <w:r>
        <w:rPr>
          <w:rFonts w:ascii="楷体" w:hAnsi="楷体" w:eastAsia="楷体" w:cs="楷体"/>
          <w:sz w:val="28"/>
          <w:szCs w:val="28"/>
        </w:rPr>
        <w:t>.</w:t>
      </w:r>
      <w:r>
        <w:rPr>
          <w:rFonts w:hint="eastAsia"/>
        </w:rPr>
        <w:t xml:space="preserve"> </w:t>
      </w:r>
      <w:r>
        <w:rPr>
          <w:rFonts w:hint="eastAsia" w:ascii="楷体" w:hAnsi="楷体" w:eastAsia="楷体" w:cs="楷体"/>
          <w:sz w:val="28"/>
          <w:szCs w:val="28"/>
        </w:rPr>
        <w:t>教研工作方面，2021年度获得湖北省高等学校省级教学研究项目立项1</w:t>
      </w:r>
      <w:r>
        <w:rPr>
          <w:rFonts w:ascii="楷体" w:hAnsi="楷体" w:eastAsia="楷体" w:cs="楷体"/>
          <w:sz w:val="28"/>
          <w:szCs w:val="28"/>
        </w:rPr>
        <w:t>4</w:t>
      </w:r>
      <w:r>
        <w:rPr>
          <w:rFonts w:hint="eastAsia" w:ascii="楷体" w:hAnsi="楷体" w:eastAsia="楷体" w:cs="楷体"/>
          <w:sz w:val="28"/>
          <w:szCs w:val="28"/>
        </w:rPr>
        <w:t>项；湖北省教育科学规划课题立项</w:t>
      </w:r>
      <w:r>
        <w:rPr>
          <w:rFonts w:ascii="楷体" w:hAnsi="楷体" w:eastAsia="楷体" w:cs="楷体"/>
          <w:sz w:val="28"/>
          <w:szCs w:val="28"/>
        </w:rPr>
        <w:t>8</w:t>
      </w:r>
      <w:r>
        <w:rPr>
          <w:rFonts w:hint="eastAsia" w:ascii="楷体" w:hAnsi="楷体" w:eastAsia="楷体" w:cs="楷体"/>
          <w:sz w:val="28"/>
          <w:szCs w:val="28"/>
        </w:rPr>
        <w:t>项，中国高等教育学会课题5项，教育部协同育人项目1</w:t>
      </w:r>
      <w:r>
        <w:rPr>
          <w:rFonts w:ascii="楷体" w:hAnsi="楷体" w:eastAsia="楷体" w:cs="楷体"/>
          <w:sz w:val="28"/>
          <w:szCs w:val="28"/>
        </w:rPr>
        <w:t>0</w:t>
      </w:r>
      <w:r>
        <w:rPr>
          <w:rFonts w:hint="eastAsia" w:ascii="楷体" w:hAnsi="楷体" w:eastAsia="楷体" w:cs="楷体"/>
          <w:sz w:val="28"/>
          <w:szCs w:val="28"/>
        </w:rPr>
        <w:t>项。</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（二）科学研究情况</w:t>
      </w:r>
    </w:p>
    <w:p>
      <w:pPr>
        <w:snapToGrid w:val="0"/>
        <w:spacing w:line="520" w:lineRule="exact"/>
        <w:ind w:firstLine="560" w:firstLineChars="200"/>
        <w:rPr>
          <w:rFonts w:ascii="楷体" w:hAnsi="楷体" w:eastAsia="楷体" w:cs="楷体"/>
          <w:sz w:val="28"/>
          <w:szCs w:val="28"/>
        </w:rPr>
      </w:pPr>
      <w:r>
        <w:rPr>
          <w:rFonts w:hint="eastAsia" w:ascii="楷体" w:hAnsi="楷体" w:eastAsia="楷体" w:cs="楷体"/>
          <w:sz w:val="28"/>
          <w:szCs w:val="28"/>
        </w:rPr>
        <w:t>2022年示范中心充分利用各方有利条件共承担各类科研项目35项，其中，中心专兼职人员获得国家三大基金立项8项，其中国家社科基金项目立项数6项、教育部哲社科基金立项数2项。省部级研究项目立项24项、厅局级研究项目获批立项3项。</w:t>
      </w:r>
    </w:p>
    <w:p>
      <w:pPr>
        <w:snapToGrid w:val="0"/>
        <w:spacing w:line="520" w:lineRule="exact"/>
        <w:ind w:firstLine="560" w:firstLineChars="200"/>
        <w:rPr>
          <w:rFonts w:ascii="楷体" w:hAnsi="楷体" w:eastAsia="楷体" w:cs="楷体"/>
          <w:b/>
          <w:bCs/>
          <w:sz w:val="28"/>
          <w:szCs w:val="28"/>
        </w:rPr>
      </w:pPr>
      <w:r>
        <w:rPr>
          <w:rFonts w:hint="eastAsia" w:ascii="楷体" w:hAnsi="楷体" w:eastAsia="楷体" w:cs="楷体"/>
          <w:sz w:val="28"/>
          <w:szCs w:val="28"/>
        </w:rPr>
        <w:t>在SSCI、SCI、EI等期刊上发表高水平学术论文43篇，国内核心期刊上发表论文18篇，出版学术专著16部，专利获批8项，荣获省部委奖2项，3项应用型成果获批省部级及以上领导签批，科学研究成果丰硕。</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四、信息化建设、开放运行和示范辐射</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（一）信息化资源、平台建设，人员信息化能力提升等情况。</w:t>
      </w:r>
    </w:p>
    <w:p>
      <w:pPr>
        <w:snapToGrid w:val="0"/>
        <w:spacing w:line="520" w:lineRule="exact"/>
        <w:ind w:firstLine="556"/>
        <w:rPr>
          <w:rFonts w:ascii="楷体" w:hAnsi="楷体" w:eastAsia="楷体" w:cs="楷体"/>
          <w:sz w:val="28"/>
          <w:szCs w:val="28"/>
        </w:rPr>
      </w:pPr>
      <w:r>
        <w:rPr>
          <w:rFonts w:ascii="楷体" w:hAnsi="楷体" w:eastAsia="楷体" w:cs="楷体"/>
          <w:sz w:val="28"/>
          <w:szCs w:val="28"/>
        </w:rPr>
        <w:t>中心网址访问总量43万余次，现有物理服务器42台，虚拟化服务器45台，虚拟仿真实验教学项目213项，信息化资源总量达到39余TB，信息化资源本年度更新量4千多GB。</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2</w:t>
      </w:r>
      <w:r>
        <w:rPr>
          <w:rFonts w:ascii="楷体" w:hAnsi="楷体" w:eastAsia="楷体" w:cs="楷体"/>
          <w:sz w:val="28"/>
          <w:szCs w:val="28"/>
        </w:rPr>
        <w:t>022</w:t>
      </w:r>
      <w:r>
        <w:rPr>
          <w:rFonts w:hint="eastAsia" w:ascii="楷体" w:hAnsi="楷体" w:eastAsia="楷体" w:cs="楷体"/>
          <w:sz w:val="28"/>
          <w:szCs w:val="28"/>
        </w:rPr>
        <w:t>年，中心加大实验教学信息化管理投入，通过加快实验云、行为管理系统等项目建设，有力促进了实验室管理由经验管理向科学管理、规范化管理发展，提升信息化管理水平。</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（二）开放运行、安全运行等情况</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2022年，示范中心在开展正常实验教学的同时，通过物理及虚拟在线方式积极对师生开放实验教学云平台，访问流量达11余TB。为各类学科竞赛提供大赛环境、设备保障，并积极承担全国计算机等级考试，服务的考试学生</w:t>
      </w:r>
      <w:r>
        <w:rPr>
          <w:rFonts w:ascii="楷体" w:hAnsi="楷体" w:eastAsia="楷体" w:cs="楷体"/>
          <w:sz w:val="28"/>
          <w:szCs w:val="28"/>
        </w:rPr>
        <w:t>1</w:t>
      </w:r>
      <w:r>
        <w:rPr>
          <w:rFonts w:hint="eastAsia" w:ascii="楷体" w:hAnsi="楷体" w:eastAsia="楷体" w:cs="楷体"/>
          <w:sz w:val="28"/>
          <w:szCs w:val="28"/>
        </w:rPr>
        <w:t>000余人次。</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在常规安全工作方面，中心一方面组织师生观看安全宣传影片，邀请安全专业人员开展安全知识专题讲座，并对重点部位人员进行5次安全知识培训，另一方面组织学生进行防触电、防雷击、防火、防震逃生演练活动，提高师生的安全意识和应急反应与自救能力，全年未发生实验教学安全责任事故。</w:t>
      </w:r>
    </w:p>
    <w:p>
      <w:pPr>
        <w:snapToGrid w:val="0"/>
        <w:spacing w:line="520" w:lineRule="exact"/>
        <w:ind w:firstLine="556"/>
        <w:rPr>
          <w:rFonts w:ascii="黑体" w:hAnsi="黑体" w:eastAsia="黑体" w:cs="黑体"/>
          <w:sz w:val="28"/>
          <w:szCs w:val="28"/>
        </w:rPr>
      </w:pPr>
      <w:r>
        <w:rPr>
          <w:rFonts w:hint="eastAsia" w:ascii="黑体" w:hAnsi="黑体" w:eastAsia="黑体" w:cs="黑体"/>
          <w:sz w:val="28"/>
          <w:szCs w:val="28"/>
        </w:rPr>
        <w:t>（三）对外交流合作、发挥示范引领、支持中西部高校实验教学改革等情况</w:t>
      </w:r>
    </w:p>
    <w:p>
      <w:pPr>
        <w:snapToGrid w:val="0"/>
        <w:spacing w:line="520" w:lineRule="exact"/>
        <w:ind w:firstLine="556"/>
        <w:rPr>
          <w:rFonts w:ascii="楷体" w:hAnsi="楷体" w:eastAsia="楷体" w:cs="楷体"/>
          <w:sz w:val="28"/>
          <w:szCs w:val="28"/>
        </w:rPr>
      </w:pPr>
      <w:r>
        <w:rPr>
          <w:rFonts w:hint="eastAsia" w:ascii="楷体" w:hAnsi="楷体" w:eastAsia="楷体" w:cs="楷体"/>
          <w:sz w:val="28"/>
          <w:szCs w:val="28"/>
        </w:rPr>
        <w:t>2022年，示范中心线上线下承办大型会议13次，参加大型会议16次，承办竞赛</w:t>
      </w:r>
      <w:r>
        <w:rPr>
          <w:rFonts w:ascii="楷体" w:hAnsi="楷体" w:eastAsia="楷体" w:cs="楷体"/>
          <w:sz w:val="28"/>
          <w:szCs w:val="28"/>
        </w:rPr>
        <w:t>8</w:t>
      </w:r>
      <w:r>
        <w:rPr>
          <w:rFonts w:hint="eastAsia" w:ascii="楷体" w:hAnsi="楷体" w:eastAsia="楷体" w:cs="楷体"/>
          <w:sz w:val="28"/>
          <w:szCs w:val="28"/>
        </w:rPr>
        <w:t>次，培训项目10次，</w:t>
      </w:r>
      <w:r>
        <w:rPr>
          <w:rFonts w:ascii="楷体" w:hAnsi="楷体" w:eastAsia="楷体" w:cs="楷体"/>
          <w:sz w:val="28"/>
          <w:szCs w:val="28"/>
        </w:rPr>
        <w:t>年</w:t>
      </w:r>
      <w:r>
        <w:rPr>
          <w:rFonts w:hint="eastAsia" w:ascii="楷体" w:hAnsi="楷体" w:eastAsia="楷体" w:cs="楷体"/>
          <w:sz w:val="28"/>
          <w:szCs w:val="28"/>
        </w:rPr>
        <w:t>接待</w:t>
      </w:r>
      <w:r>
        <w:rPr>
          <w:rFonts w:ascii="楷体" w:hAnsi="楷体" w:eastAsia="楷体" w:cs="楷体"/>
          <w:sz w:val="28"/>
          <w:szCs w:val="28"/>
        </w:rPr>
        <w:t>5</w:t>
      </w:r>
      <w:r>
        <w:rPr>
          <w:rFonts w:hint="eastAsia" w:ascii="楷体" w:hAnsi="楷体" w:eastAsia="楷体" w:cs="楷体"/>
          <w:sz w:val="28"/>
          <w:szCs w:val="28"/>
        </w:rPr>
        <w:t>0余所国内外院校同仁访问中心，充分发挥我校国家级、省级示范中心的示范引领作用。鉴于我校国家级实验教学示范中心在全省影响面较广，自担任组长单位后，联席会充分发挥国家级、省级示范中心的示范引领作用，面向湖北省所有高校组织开展各项活动：定期组织学术年会、实验室建设和实验教学研讨会，研究方向与时俱进、顺应时代潮流，从最开始的实验教学与创新型人才培养到新兴信息技术与实验教学的深度融合；承办学科组全国性研讨会和“学创杯”全国大学生创业综合模拟大赛、“智享杯”全国高校经管类实验教学案例大赛、“育知联杯”智慧商务大数据创新应用大赛 、“知链”大学生金融科技创新应用大赛等学科竞赛；建立了实验室建设专家委员会，为湖北省各高校实验室建设提供支持；评选出一批优秀实验教师，成立实验示范课巡讲团，为湖北省高校经管类创新人才培养水平的整体提升和高等教育事业的发展做出了贡献。</w:t>
      </w:r>
    </w:p>
    <w:p>
      <w:pPr>
        <w:ind w:firstLine="560" w:firstLineChars="200"/>
        <w:rPr>
          <w:rFonts w:ascii="黑体" w:hAnsi="黑体" w:eastAsia="黑体" w:cs="仿宋_GB2312"/>
          <w:sz w:val="28"/>
          <w:szCs w:val="28"/>
        </w:rPr>
      </w:pPr>
      <w:r>
        <w:rPr>
          <w:rFonts w:hint="eastAsia" w:ascii="黑体" w:hAnsi="黑体" w:eastAsia="黑体" w:cs="仿宋_GB2312"/>
          <w:sz w:val="28"/>
          <w:szCs w:val="28"/>
        </w:rPr>
        <w:t>五、示范中心大事记</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1、省科技厅领导来中心参观</w:t>
      </w:r>
    </w:p>
    <w:p>
      <w:pPr>
        <w:widowControl/>
        <w:shd w:val="clear" w:color="auto" w:fill="FFFFFF"/>
        <w:spacing w:line="440" w:lineRule="atLeast"/>
        <w:ind w:firstLine="373"/>
        <w:jc w:val="left"/>
        <w:rPr>
          <w:rFonts w:ascii="微软雅黑" w:hAnsi="微软雅黑" w:eastAsia="微软雅黑" w:cs="宋体"/>
          <w:color w:val="333333"/>
          <w:kern w:val="0"/>
          <w:sz w:val="19"/>
          <w:szCs w:val="19"/>
        </w:rPr>
      </w:pPr>
      <w:r>
        <w:rPr>
          <w:rFonts w:hint="eastAsia" w:ascii="楷体" w:hAnsi="楷体" w:eastAsia="楷体" w:cs="仿宋_GB2312"/>
          <w:sz w:val="28"/>
          <w:szCs w:val="28"/>
        </w:rPr>
        <w:drawing>
          <wp:anchor distT="0" distB="0" distL="114300" distR="114300" simplePos="0" relativeHeight="251659264" behindDoc="0" locked="0" layoutInCell="1" allowOverlap="1">
            <wp:simplePos x="0" y="0"/>
            <wp:positionH relativeFrom="column">
              <wp:posOffset>-23495</wp:posOffset>
            </wp:positionH>
            <wp:positionV relativeFrom="paragraph">
              <wp:posOffset>56515</wp:posOffset>
            </wp:positionV>
            <wp:extent cx="3621405" cy="2717800"/>
            <wp:effectExtent l="19050" t="0" r="0" b="0"/>
            <wp:wrapSquare wrapText="bothSides"/>
            <wp:docPr id="1" name="图片 1" descr="http://syzxsb.hbue.edu.cn/_upload/article/images/70/98/6f680172480298f83a0f792454d5/6a36ef1e-1d94-4b29-aa3b-6277f0eb7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yzxsb.hbue.edu.cn/_upload/article/images/70/98/6f680172480298f83a0f792454d5/6a36ef1e-1d94-4b29-aa3b-6277f0eb77b4.jpg"/>
                    <pic:cNvPicPr>
                      <a:picLocks noChangeAspect="1" noChangeArrowheads="1"/>
                    </pic:cNvPicPr>
                  </pic:nvPicPr>
                  <pic:blipFill>
                    <a:blip r:embed="rId6" cstate="print"/>
                    <a:srcRect/>
                    <a:stretch>
                      <a:fillRect/>
                    </a:stretch>
                  </pic:blipFill>
                  <pic:spPr>
                    <a:xfrm>
                      <a:off x="0" y="0"/>
                      <a:ext cx="3621405" cy="2717800"/>
                    </a:xfrm>
                    <a:prstGeom prst="rect">
                      <a:avLst/>
                    </a:prstGeom>
                    <a:noFill/>
                    <a:ln w="9525">
                      <a:noFill/>
                      <a:miter lim="800000"/>
                      <a:headEnd/>
                      <a:tailEnd/>
                    </a:ln>
                  </pic:spPr>
                </pic:pic>
              </a:graphicData>
            </a:graphic>
          </wp:anchor>
        </w:drawing>
      </w:r>
      <w:r>
        <w:rPr>
          <w:rFonts w:hint="eastAsia" w:ascii="楷体" w:hAnsi="楷体" w:eastAsia="楷体" w:cs="仿宋_GB2312"/>
          <w:sz w:val="28"/>
          <w:szCs w:val="28"/>
        </w:rPr>
        <w:t>4月12日下午，湖北省科技厅王锦荣处长、中国地质大学王典洪教授、华中师范大学何婷婷教授、湖北工业大学王春枝教授、湖北第二师范学院杨莉教授来中心参观。校党委常委、副校长鲁晓成，中心党总支书记吴晓玲、常务副主任陈新武及信息与通信工程学院党委书记邓志华、院长兼党委副书记田浩、副院长兼统战委员李红艳进行了陪同。</w:t>
      </w:r>
      <w:r>
        <w:rPr>
          <w:rFonts w:hint="eastAsia" w:ascii="微软雅黑" w:hAnsi="微软雅黑" w:eastAsia="微软雅黑" w:cs="宋体"/>
          <w:color w:val="333333"/>
          <w:kern w:val="0"/>
          <w:sz w:val="19"/>
          <w:szCs w:val="19"/>
        </w:rPr>
        <w:t>（</w:t>
      </w:r>
      <w:r>
        <w:fldChar w:fldCharType="begin"/>
      </w:r>
      <w:r>
        <w:instrText xml:space="preserve"> HYPERLINK "http://syzxsb.hbue.edu.cn/e4/45/c7979a255045/page.htm" </w:instrText>
      </w:r>
      <w:r>
        <w:fldChar w:fldCharType="separate"/>
      </w:r>
      <w:r>
        <w:rPr>
          <w:rStyle w:val="18"/>
          <w:rFonts w:ascii="微软雅黑" w:hAnsi="微软雅黑" w:eastAsia="微软雅黑" w:cs="宋体"/>
          <w:kern w:val="0"/>
          <w:sz w:val="19"/>
          <w:szCs w:val="19"/>
        </w:rPr>
        <w:t>http://syzxsb.hbue.edu.cn/e4/45/c7979a255045/page.htm</w:t>
      </w:r>
      <w:r>
        <w:rPr>
          <w:rStyle w:val="18"/>
          <w:rFonts w:ascii="微软雅黑" w:hAnsi="微软雅黑" w:eastAsia="微软雅黑" w:cs="宋体"/>
          <w:kern w:val="0"/>
          <w:sz w:val="19"/>
          <w:szCs w:val="19"/>
        </w:rPr>
        <w:fldChar w:fldCharType="end"/>
      </w:r>
      <w:r>
        <w:rPr>
          <w:rFonts w:ascii="微软雅黑" w:hAnsi="微软雅黑" w:eastAsia="微软雅黑" w:cs="宋体"/>
          <w:color w:val="333333"/>
          <w:kern w:val="0"/>
          <w:sz w:val="19"/>
          <w:szCs w:val="19"/>
        </w:rPr>
        <w:t>）</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color w:val="282828"/>
          <w:sz w:val="28"/>
          <w:szCs w:val="28"/>
        </w:rPr>
      </w:pPr>
      <w:r>
        <w:rPr>
          <w:rFonts w:hint="eastAsia" w:ascii="黑体" w:hAnsi="黑体" w:eastAsia="黑体" w:cs="黑体"/>
          <w:b w:val="0"/>
          <w:bCs w:val="0"/>
          <w:color w:val="333333"/>
          <w:kern w:val="0"/>
          <w:sz w:val="28"/>
          <w:szCs w:val="28"/>
        </w:rPr>
        <w:t>2、</w:t>
      </w:r>
      <w:r>
        <w:rPr>
          <w:rFonts w:hint="eastAsia" w:ascii="黑体" w:hAnsi="黑体" w:eastAsia="黑体" w:cs="黑体"/>
          <w:b w:val="0"/>
          <w:bCs w:val="0"/>
          <w:color w:val="282828"/>
          <w:sz w:val="28"/>
          <w:szCs w:val="28"/>
        </w:rPr>
        <w:t>2022年第一届“育知联杯”智慧商业大数据创新应用大赛总决赛成功举办</w:t>
      </w:r>
    </w:p>
    <w:p>
      <w:pPr>
        <w:pStyle w:val="2"/>
        <w:shd w:val="clear" w:color="auto" w:fill="FFFFFF"/>
        <w:spacing w:before="0" w:beforeAutospacing="0" w:after="0" w:afterAutospacing="0" w:line="347" w:lineRule="atLeast"/>
        <w:rPr>
          <w:rFonts w:ascii="微软雅黑" w:hAnsi="微软雅黑" w:eastAsia="微软雅黑" w:cs="宋体"/>
          <w:color w:val="333333"/>
          <w:kern w:val="0"/>
          <w:sz w:val="19"/>
          <w:szCs w:val="19"/>
        </w:rPr>
      </w:pPr>
      <w:r>
        <w:drawing>
          <wp:inline distT="0" distB="0" distL="0" distR="0">
            <wp:extent cx="5270500" cy="2972435"/>
            <wp:effectExtent l="19050" t="0" r="6350" b="0"/>
            <wp:docPr id="2" name="图片 1" descr="http://syzxsb.hbue.edu.cn/_upload/article/images/f4/4f/42f2dc8f4e9481b035e252686e14/c0ea502b-ed88-4c97-aeb2-fab2cccd39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yzxsb.hbue.edu.cn/_upload/article/images/f4/4f/42f2dc8f4e9481b035e252686e14/c0ea502b-ed88-4c97-aeb2-fab2cccd390c.png"/>
                    <pic:cNvPicPr>
                      <a:picLocks noChangeAspect="1" noChangeArrowheads="1"/>
                    </pic:cNvPicPr>
                  </pic:nvPicPr>
                  <pic:blipFill>
                    <a:blip r:embed="rId7" cstate="print"/>
                    <a:srcRect/>
                    <a:stretch>
                      <a:fillRect/>
                    </a:stretch>
                  </pic:blipFill>
                  <pic:spPr>
                    <a:xfrm>
                      <a:off x="0" y="0"/>
                      <a:ext cx="5270500" cy="2973018"/>
                    </a:xfrm>
                    <a:prstGeom prst="rect">
                      <a:avLst/>
                    </a:prstGeom>
                    <a:noFill/>
                    <a:ln w="9525">
                      <a:noFill/>
                      <a:miter lim="800000"/>
                      <a:headEnd/>
                      <a:tailEnd/>
                    </a:ln>
                  </pic:spPr>
                </pic:pic>
              </a:graphicData>
            </a:graphic>
          </wp:inline>
        </w:drawing>
      </w:r>
    </w:p>
    <w:p>
      <w:pPr>
        <w:rPr>
          <w:color w:val="333333"/>
          <w:sz w:val="19"/>
          <w:szCs w:val="19"/>
          <w:shd w:val="clear" w:color="auto" w:fill="FFFFFF"/>
        </w:rPr>
      </w:pPr>
      <w:r>
        <w:rPr>
          <w:rFonts w:hint="eastAsia"/>
          <w:color w:val="333333"/>
          <w:sz w:val="19"/>
          <w:szCs w:val="19"/>
          <w:shd w:val="clear" w:color="auto" w:fill="FFFFFF"/>
        </w:rPr>
        <w:t>2022年4月30日，在中南财经政法大学，与来自省内外的众多兄弟院校共同举办了2022年第一届“育知联杯”智慧商业大数据创新应用大赛总决赛。</w:t>
      </w:r>
    </w:p>
    <w:p>
      <w:r>
        <w:rPr>
          <w:rFonts w:hint="eastAsia"/>
        </w:rPr>
        <w:t>（</w:t>
      </w:r>
      <w:r>
        <w:fldChar w:fldCharType="begin"/>
      </w:r>
      <w:r>
        <w:instrText xml:space="preserve"> HYPERLINK "http://syzxsb.hbue.edu.cn/ea/40/c7979a256576/page.htm" </w:instrText>
      </w:r>
      <w:r>
        <w:fldChar w:fldCharType="separate"/>
      </w:r>
      <w:r>
        <w:rPr>
          <w:rStyle w:val="18"/>
        </w:rPr>
        <w:t>http://syzxsb.hbue.edu.cn/ea/40/c7979a256576/page.htm</w:t>
      </w:r>
      <w:r>
        <w:rPr>
          <w:rStyle w:val="18"/>
        </w:rPr>
        <w:fldChar w:fldCharType="end"/>
      </w:r>
      <w:r>
        <w:t>）</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3、中心参加省属高校实验室安全排查工作部署会</w:t>
      </w:r>
    </w:p>
    <w:p>
      <w:pPr>
        <w:widowControl/>
        <w:shd w:val="clear" w:color="auto" w:fill="FFFFFF"/>
        <w:spacing w:line="440" w:lineRule="atLeast"/>
        <w:ind w:firstLine="373"/>
        <w:jc w:val="left"/>
        <w:rPr>
          <w:rFonts w:ascii="楷体" w:hAnsi="楷体" w:eastAsia="楷体" w:cs="仿宋_GB2312"/>
          <w:sz w:val="28"/>
          <w:szCs w:val="28"/>
        </w:rPr>
      </w:pPr>
      <w:r>
        <w:rPr>
          <w:rFonts w:ascii="楷体" w:hAnsi="楷体" w:eastAsia="楷体" w:cs="仿宋_GB2312"/>
          <w:sz w:val="28"/>
          <w:szCs w:val="28"/>
        </w:rPr>
        <w:drawing>
          <wp:anchor distT="0" distB="0" distL="114300" distR="114300" simplePos="0" relativeHeight="251660288" behindDoc="0" locked="0" layoutInCell="1" allowOverlap="1">
            <wp:simplePos x="0" y="0"/>
            <wp:positionH relativeFrom="column">
              <wp:posOffset>255905</wp:posOffset>
            </wp:positionH>
            <wp:positionV relativeFrom="paragraph">
              <wp:posOffset>25400</wp:posOffset>
            </wp:positionV>
            <wp:extent cx="3193415" cy="2395855"/>
            <wp:effectExtent l="19050" t="0" r="7197" b="0"/>
            <wp:wrapSquare wrapText="bothSides"/>
            <wp:docPr id="4" name="图片 4" descr="http://syzxsb.hbue.edu.cn/_upload/article/images/19/11/ba90e16a414ea7374a3ee8ac2eab/1069eda6-089e-403f-bc25-34f733ab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yzxsb.hbue.edu.cn/_upload/article/images/19/11/ba90e16a414ea7374a3ee8ac2eab/1069eda6-089e-403f-bc25-34f733abe244.png"/>
                    <pic:cNvPicPr>
                      <a:picLocks noChangeAspect="1" noChangeArrowheads="1"/>
                    </pic:cNvPicPr>
                  </pic:nvPicPr>
                  <pic:blipFill>
                    <a:blip r:embed="rId8" cstate="print"/>
                    <a:srcRect/>
                    <a:stretch>
                      <a:fillRect/>
                    </a:stretch>
                  </pic:blipFill>
                  <pic:spPr>
                    <a:xfrm>
                      <a:off x="0" y="0"/>
                      <a:ext cx="3193203" cy="2396067"/>
                    </a:xfrm>
                    <a:prstGeom prst="rect">
                      <a:avLst/>
                    </a:prstGeom>
                    <a:noFill/>
                    <a:ln w="9525">
                      <a:noFill/>
                      <a:miter lim="800000"/>
                      <a:headEnd/>
                      <a:tailEnd/>
                    </a:ln>
                  </pic:spPr>
                </pic:pic>
              </a:graphicData>
            </a:graphic>
          </wp:anchor>
        </w:drawing>
      </w:r>
      <w:r>
        <w:rPr>
          <w:rFonts w:hint="eastAsia" w:ascii="楷体" w:hAnsi="楷体" w:eastAsia="楷体" w:cs="仿宋_GB2312"/>
          <w:sz w:val="28"/>
          <w:szCs w:val="28"/>
        </w:rPr>
        <w:t>5月23日下午，在实验楼①114会议室，由实验教学中心牵头组织各学院安全分管负责人、实验室管理部门负责人、实验室主任及安全管理员等人员在线参加省教育厅“2022年高等学校实验室安全排查工作部署会议”。</w:t>
      </w:r>
    </w:p>
    <w:p>
      <w:pPr>
        <w:rPr>
          <w:rFonts w:ascii="黑体" w:hAnsi="黑体" w:eastAsia="黑体" w:cs="仿宋_GB2312"/>
          <w:sz w:val="28"/>
          <w:szCs w:val="28"/>
        </w:rPr>
      </w:pPr>
      <w:r>
        <w:rPr>
          <w:rFonts w:ascii="黑体" w:hAnsi="黑体" w:eastAsia="黑体" w:cs="仿宋_GB2312"/>
          <w:sz w:val="28"/>
          <w:szCs w:val="28"/>
        </w:rPr>
        <w:t>（</w:t>
      </w:r>
      <w:r>
        <w:fldChar w:fldCharType="begin"/>
      </w:r>
      <w:r>
        <w:instrText xml:space="preserve"> HYPERLINK "http://syzxsb.hbue.edu.cn/f0/66/c7979a258150/page.htm" </w:instrText>
      </w:r>
      <w:r>
        <w:fldChar w:fldCharType="separate"/>
      </w:r>
      <w:r>
        <w:rPr>
          <w:rStyle w:val="18"/>
          <w:rFonts w:ascii="黑体" w:hAnsi="黑体" w:eastAsia="黑体" w:cs="仿宋_GB2312"/>
          <w:sz w:val="28"/>
          <w:szCs w:val="28"/>
        </w:rPr>
        <w:t>http://syzxsb.hbue.edu.cn/f0/66/c7979a258150/page.htm</w:t>
      </w:r>
      <w:r>
        <w:rPr>
          <w:rStyle w:val="18"/>
          <w:rFonts w:ascii="黑体" w:hAnsi="黑体" w:eastAsia="黑体" w:cs="仿宋_GB2312"/>
          <w:sz w:val="28"/>
          <w:szCs w:val="28"/>
        </w:rPr>
        <w:fldChar w:fldCharType="end"/>
      </w:r>
      <w:r>
        <w:rPr>
          <w:rFonts w:ascii="黑体" w:hAnsi="黑体" w:eastAsia="黑体" w:cs="仿宋_GB2312"/>
          <w:sz w:val="28"/>
          <w:szCs w:val="28"/>
        </w:rPr>
        <w:t>）</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4、省教育厅专家组来校督导检查实验室安全工作</w:t>
      </w:r>
    </w:p>
    <w:p>
      <w:pPr>
        <w:widowControl/>
        <w:shd w:val="clear" w:color="auto" w:fill="FFFFFF"/>
        <w:spacing w:line="280" w:lineRule="atLeast"/>
        <w:ind w:firstLine="373"/>
        <w:jc w:val="left"/>
        <w:rPr>
          <w:rFonts w:ascii="楷体" w:hAnsi="楷体" w:eastAsia="楷体" w:cs="仿宋_GB2312"/>
          <w:sz w:val="28"/>
          <w:szCs w:val="28"/>
        </w:rPr>
      </w:pPr>
      <w:r>
        <w:rPr>
          <w:rFonts w:hint="eastAsia" w:ascii="楷体" w:hAnsi="楷体" w:eastAsia="楷体" w:cs="仿宋_GB2312"/>
          <w:sz w:val="28"/>
          <w:szCs w:val="28"/>
        </w:rPr>
        <w:drawing>
          <wp:anchor distT="0" distB="0" distL="114300" distR="114300" simplePos="0" relativeHeight="251661312" behindDoc="0" locked="0" layoutInCell="1" allowOverlap="1">
            <wp:simplePos x="0" y="0"/>
            <wp:positionH relativeFrom="column">
              <wp:posOffset>73660</wp:posOffset>
            </wp:positionH>
            <wp:positionV relativeFrom="paragraph">
              <wp:posOffset>69850</wp:posOffset>
            </wp:positionV>
            <wp:extent cx="3104515" cy="2327910"/>
            <wp:effectExtent l="19050" t="0" r="635" b="0"/>
            <wp:wrapSquare wrapText="bothSides"/>
            <wp:docPr id="10" name="图片 10" descr="http://syzxsb.hbue.edu.cn/_upload/article/images/45/ed/309e1a9243579134f30e0ffefcb4/9f18fb1d-af5c-4791-970b-2ee4777cc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yzxsb.hbue.edu.cn/_upload/article/images/45/ed/309e1a9243579134f30e0ffefcb4/9f18fb1d-af5c-4791-970b-2ee4777cc01c.jpg"/>
                    <pic:cNvPicPr>
                      <a:picLocks noChangeAspect="1" noChangeArrowheads="1"/>
                    </pic:cNvPicPr>
                  </pic:nvPicPr>
                  <pic:blipFill>
                    <a:blip r:embed="rId9" cstate="print"/>
                    <a:srcRect/>
                    <a:stretch>
                      <a:fillRect/>
                    </a:stretch>
                  </pic:blipFill>
                  <pic:spPr>
                    <a:xfrm>
                      <a:off x="0" y="0"/>
                      <a:ext cx="3104515" cy="2327910"/>
                    </a:xfrm>
                    <a:prstGeom prst="rect">
                      <a:avLst/>
                    </a:prstGeom>
                    <a:noFill/>
                    <a:ln w="9525">
                      <a:noFill/>
                      <a:miter lim="800000"/>
                      <a:headEnd/>
                      <a:tailEnd/>
                    </a:ln>
                  </pic:spPr>
                </pic:pic>
              </a:graphicData>
            </a:graphic>
          </wp:anchor>
        </w:drawing>
      </w:r>
      <w:r>
        <w:rPr>
          <w:rFonts w:hint="eastAsia" w:ascii="楷体" w:hAnsi="楷体" w:eastAsia="楷体" w:cs="仿宋_GB2312"/>
          <w:sz w:val="28"/>
          <w:szCs w:val="28"/>
        </w:rPr>
        <w:t>6月2日，湖北美术学院党委常委、副院长刘茂平、实验教学中心主任徐帆、保卫处副处长魏胤、实验室建设科科长张凡彪、实验教学管理科科长杜晨子来我校督导检查实验室安全工作。校党委常委、副院长付宏，实验教学中心总支书记吴晓玲、常务副主任陈新武陪同。根据省教育厅要求，5月31日由付宏带队，保卫处、实验教学中心、艺术设计学院相关安全负责人前往武汉音乐学院对兄弟院校实验室安全工作进行了检查交流。</w:t>
      </w:r>
    </w:p>
    <w:p>
      <w:pPr>
        <w:pStyle w:val="2"/>
        <w:shd w:val="clear" w:color="auto" w:fill="FFFFFF"/>
        <w:spacing w:before="0" w:beforeAutospacing="0" w:after="0" w:afterAutospacing="0" w:line="347" w:lineRule="atLeast"/>
        <w:jc w:val="both"/>
        <w:rPr>
          <w:rFonts w:ascii="楷体" w:hAnsi="楷体" w:eastAsia="楷体" w:cs="仿宋_GB2312"/>
          <w:b w:val="0"/>
          <w:bCs w:val="0"/>
          <w:kern w:val="2"/>
          <w:sz w:val="28"/>
          <w:szCs w:val="28"/>
        </w:rPr>
      </w:pPr>
      <w:r>
        <w:rPr>
          <w:rFonts w:ascii="楷体" w:hAnsi="楷体" w:eastAsia="楷体" w:cs="仿宋_GB2312"/>
          <w:b w:val="0"/>
          <w:bCs w:val="0"/>
          <w:kern w:val="2"/>
          <w:sz w:val="28"/>
          <w:szCs w:val="28"/>
        </w:rPr>
        <w:t>（</w:t>
      </w:r>
      <w:r>
        <w:fldChar w:fldCharType="begin"/>
      </w:r>
      <w:r>
        <w:instrText xml:space="preserve"> HYPERLINK "http://syzxsb.hbue.edu.cn/f4/08/c7979a259080/page.htm" </w:instrText>
      </w:r>
      <w:r>
        <w:fldChar w:fldCharType="separate"/>
      </w:r>
      <w:r>
        <w:rPr>
          <w:rStyle w:val="18"/>
          <w:rFonts w:ascii="楷体" w:hAnsi="楷体" w:eastAsia="楷体" w:cs="仿宋_GB2312"/>
          <w:b w:val="0"/>
          <w:bCs w:val="0"/>
          <w:kern w:val="2"/>
          <w:sz w:val="28"/>
          <w:szCs w:val="28"/>
        </w:rPr>
        <w:t>http://syzxsb.hbue.edu.cn/f4/08/c7979a259080/page.htm</w:t>
      </w:r>
      <w:r>
        <w:rPr>
          <w:rStyle w:val="18"/>
          <w:rFonts w:ascii="楷体" w:hAnsi="楷体" w:eastAsia="楷体" w:cs="仿宋_GB2312"/>
          <w:b w:val="0"/>
          <w:bCs w:val="0"/>
          <w:kern w:val="2"/>
          <w:sz w:val="28"/>
          <w:szCs w:val="28"/>
        </w:rPr>
        <w:fldChar w:fldCharType="end"/>
      </w:r>
      <w:r>
        <w:rPr>
          <w:rFonts w:ascii="楷体" w:hAnsi="楷体" w:eastAsia="楷体" w:cs="仿宋_GB2312"/>
          <w:b w:val="0"/>
          <w:bCs w:val="0"/>
          <w:kern w:val="2"/>
          <w:sz w:val="28"/>
          <w:szCs w:val="28"/>
        </w:rPr>
        <w:t>）</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5、中心组织 “高校实验室安全与管理培训班”学习</w:t>
      </w:r>
    </w:p>
    <w:p>
      <w:pPr>
        <w:ind w:firstLine="560" w:firstLineChars="200"/>
        <w:rPr>
          <w:rFonts w:ascii="黑体" w:hAnsi="黑体" w:eastAsia="黑体" w:cs="仿宋_GB2312"/>
          <w:sz w:val="28"/>
          <w:szCs w:val="28"/>
        </w:rPr>
      </w:pPr>
      <w:r>
        <w:rPr>
          <w:rFonts w:hint="eastAsia" w:ascii="楷体" w:hAnsi="楷体" w:eastAsia="楷体" w:cs="仿宋_GB2312"/>
          <w:sz w:val="28"/>
          <w:szCs w:val="28"/>
        </w:rPr>
        <w:t>6月10日-11日在实验楼①114会议室组织安全管理相关人员参加教育部2022年“高校实验室安全与管理培训班”线上学习。校党委常委、副院长付宏，教务处副处长王全意，保卫处副处长付斌，实验教学中心党总支书记吴晓玲、常务副主任陈新武及各学院实验室安全工作负责人、实验室技术人员参加</w:t>
      </w:r>
      <w:r>
        <w:rPr>
          <w:rFonts w:ascii="楷体" w:hAnsi="楷体" w:eastAsia="楷体" w:cs="仿宋_GB2312"/>
          <w:sz w:val="28"/>
          <w:szCs w:val="28"/>
        </w:rPr>
        <w:drawing>
          <wp:anchor distT="0" distB="0" distL="114300" distR="114300" simplePos="0" relativeHeight="251662336" behindDoc="0" locked="0" layoutInCell="1" allowOverlap="1">
            <wp:simplePos x="0" y="0"/>
            <wp:positionH relativeFrom="column">
              <wp:posOffset>19050</wp:posOffset>
            </wp:positionH>
            <wp:positionV relativeFrom="paragraph">
              <wp:posOffset>24130</wp:posOffset>
            </wp:positionV>
            <wp:extent cx="3313430" cy="2235200"/>
            <wp:effectExtent l="19050" t="0" r="1058" b="0"/>
            <wp:wrapSquare wrapText="bothSides"/>
            <wp:docPr id="13" name="图片 13" descr="http://syzxsb.hbue.edu.cn/_upload/article/images/6a/6a/d331522940fe8f27bedf44318721/e6e82015-3549-4788-b988-9c062f7ed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yzxsb.hbue.edu.cn/_upload/article/images/6a/6a/d331522940fe8f27bedf44318721/e6e82015-3549-4788-b988-9c062f7ed885.jpg"/>
                    <pic:cNvPicPr>
                      <a:picLocks noChangeAspect="1" noChangeArrowheads="1"/>
                    </pic:cNvPicPr>
                  </pic:nvPicPr>
                  <pic:blipFill>
                    <a:blip r:embed="rId10" cstate="print"/>
                    <a:srcRect/>
                    <a:stretch>
                      <a:fillRect/>
                    </a:stretch>
                  </pic:blipFill>
                  <pic:spPr>
                    <a:xfrm>
                      <a:off x="0" y="0"/>
                      <a:ext cx="3313642" cy="2235200"/>
                    </a:xfrm>
                    <a:prstGeom prst="rect">
                      <a:avLst/>
                    </a:prstGeom>
                    <a:noFill/>
                    <a:ln w="9525">
                      <a:noFill/>
                      <a:miter lim="800000"/>
                      <a:headEnd/>
                      <a:tailEnd/>
                    </a:ln>
                  </pic:spPr>
                </pic:pic>
              </a:graphicData>
            </a:graphic>
          </wp:anchor>
        </w:drawing>
      </w:r>
      <w:r>
        <w:rPr>
          <w:rFonts w:hint="eastAsia" w:ascii="楷体" w:hAnsi="楷体" w:eastAsia="楷体" w:cs="仿宋_GB2312"/>
          <w:sz w:val="28"/>
          <w:szCs w:val="28"/>
        </w:rPr>
        <w:t>。（</w:t>
      </w:r>
      <w:r>
        <w:fldChar w:fldCharType="begin"/>
      </w:r>
      <w:r>
        <w:instrText xml:space="preserve"> HYPERLINK "http://syzxsb.hbue.edu.cn/f6/05/c7979a259589/page.htm" </w:instrText>
      </w:r>
      <w:r>
        <w:fldChar w:fldCharType="separate"/>
      </w:r>
      <w:r>
        <w:rPr>
          <w:rStyle w:val="18"/>
          <w:sz w:val="19"/>
          <w:szCs w:val="19"/>
          <w:shd w:val="clear" w:color="auto" w:fill="FFFFFF"/>
        </w:rPr>
        <w:t>http://syzxsb.hbue.edu.cn/f6/05/c7979a259589/page.htm</w:t>
      </w:r>
      <w:r>
        <w:rPr>
          <w:rStyle w:val="18"/>
          <w:sz w:val="19"/>
          <w:szCs w:val="19"/>
          <w:shd w:val="clear" w:color="auto" w:fill="FFFFFF"/>
        </w:rPr>
        <w:fldChar w:fldCharType="end"/>
      </w:r>
      <w:r>
        <w:rPr>
          <w:color w:val="000000"/>
          <w:sz w:val="19"/>
          <w:szCs w:val="19"/>
          <w:shd w:val="clear" w:color="auto" w:fill="FFFFFF"/>
        </w:rPr>
        <w:t>）</w:t>
      </w:r>
    </w:p>
    <w:p>
      <w:pPr>
        <w:pStyle w:val="2"/>
        <w:shd w:val="clear" w:color="auto" w:fill="FFFFFF"/>
        <w:spacing w:before="0" w:beforeAutospacing="0" w:after="0" w:afterAutospacing="0" w:line="347" w:lineRule="atLeast"/>
        <w:rPr>
          <w:rFonts w:ascii="黑体" w:hAnsi="黑体" w:eastAsia="黑体" w:cs="仿宋_GB2312"/>
          <w:sz w:val="28"/>
          <w:szCs w:val="28"/>
        </w:rPr>
      </w:pPr>
    </w:p>
    <w:p>
      <w:pPr>
        <w:pStyle w:val="2"/>
        <w:shd w:val="clear" w:color="auto" w:fill="FFFFFF"/>
        <w:spacing w:before="0" w:beforeAutospacing="0" w:after="0" w:afterAutospacing="0" w:line="347" w:lineRule="atLeast"/>
        <w:rPr>
          <w:rFonts w:ascii="黑体" w:hAnsi="黑体" w:eastAsia="黑体" w:cs="仿宋_GB2312"/>
          <w:sz w:val="28"/>
          <w:szCs w:val="28"/>
        </w:rPr>
      </w:pP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drawing>
          <wp:anchor distT="0" distB="0" distL="114300" distR="114300" simplePos="0" relativeHeight="251663360" behindDoc="0" locked="0" layoutInCell="1" allowOverlap="1">
            <wp:simplePos x="0" y="0"/>
            <wp:positionH relativeFrom="column">
              <wp:posOffset>19050</wp:posOffset>
            </wp:positionH>
            <wp:positionV relativeFrom="paragraph">
              <wp:posOffset>905510</wp:posOffset>
            </wp:positionV>
            <wp:extent cx="3316605" cy="2209800"/>
            <wp:effectExtent l="19050" t="0" r="0" b="0"/>
            <wp:wrapSquare wrapText="bothSides"/>
            <wp:docPr id="16" name="图片 16" descr="http://syzxsb.hbue.edu.cn/_upload/article/images/49/b6/6c8eb710432d8a650f25b86eb84a/f4c99f2e-6e6e-4990-adb6-c39ac8ea0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yzxsb.hbue.edu.cn/_upload/article/images/49/b6/6c8eb710432d8a650f25b86eb84a/f4c99f2e-6e6e-4990-adb6-c39ac8ea00f8.png"/>
                    <pic:cNvPicPr>
                      <a:picLocks noChangeAspect="1" noChangeArrowheads="1"/>
                    </pic:cNvPicPr>
                  </pic:nvPicPr>
                  <pic:blipFill>
                    <a:blip r:embed="rId11" cstate="print"/>
                    <a:srcRect/>
                    <a:stretch>
                      <a:fillRect/>
                    </a:stretch>
                  </pic:blipFill>
                  <pic:spPr>
                    <a:xfrm>
                      <a:off x="0" y="0"/>
                      <a:ext cx="3316605" cy="2209800"/>
                    </a:xfrm>
                    <a:prstGeom prst="rect">
                      <a:avLst/>
                    </a:prstGeom>
                    <a:noFill/>
                    <a:ln w="9525">
                      <a:noFill/>
                      <a:miter lim="800000"/>
                      <a:headEnd/>
                      <a:tailEnd/>
                    </a:ln>
                  </pic:spPr>
                </pic:pic>
              </a:graphicData>
            </a:graphic>
          </wp:anchor>
        </w:drawing>
      </w:r>
      <w:r>
        <w:rPr>
          <w:rFonts w:hint="eastAsia" w:ascii="黑体" w:hAnsi="黑体" w:eastAsia="黑体" w:cs="黑体"/>
          <w:b w:val="0"/>
          <w:bCs w:val="0"/>
          <w:kern w:val="2"/>
          <w:sz w:val="28"/>
          <w:szCs w:val="28"/>
        </w:rPr>
        <w:t>6、付宏出席第二十三届全国高校经管类专业实验室建设暨经济管理实验教学示范中心建设研讨会并作主题报告</w:t>
      </w:r>
    </w:p>
    <w:p>
      <w:pPr>
        <w:widowControl/>
        <w:shd w:val="clear" w:color="auto" w:fill="FFFFFF"/>
        <w:spacing w:line="280" w:lineRule="atLeast"/>
        <w:ind w:firstLine="373"/>
        <w:jc w:val="left"/>
        <w:rPr>
          <w:rFonts w:ascii="楷体" w:hAnsi="楷体" w:eastAsia="楷体" w:cs="仿宋_GB2312"/>
          <w:sz w:val="28"/>
          <w:szCs w:val="28"/>
        </w:rPr>
      </w:pPr>
      <w:r>
        <w:rPr>
          <w:rFonts w:hint="eastAsia" w:ascii="楷体" w:hAnsi="楷体" w:eastAsia="楷体" w:cs="仿宋_GB2312"/>
          <w:sz w:val="28"/>
          <w:szCs w:val="28"/>
        </w:rPr>
        <w:t>10月29-30日，第二十三届全国高校经管类专业实验室建设暨经济管理实验教学示范中心建设研讨会在石河子大学召开。全国百余所高校的领导和专家参会。副校长付宏受邀参会并作主题报告。</w:t>
      </w:r>
    </w:p>
    <w:p>
      <w:pPr>
        <w:rPr>
          <w:rFonts w:ascii="黑体" w:hAnsi="黑体" w:eastAsia="黑体" w:cs="仿宋_GB2312"/>
          <w:sz w:val="28"/>
          <w:szCs w:val="28"/>
        </w:rPr>
      </w:pPr>
      <w:r>
        <w:rPr>
          <w:rFonts w:hint="eastAsia" w:ascii="黑体" w:hAnsi="黑体" w:eastAsia="黑体" w:cs="仿宋_GB2312"/>
          <w:sz w:val="28"/>
          <w:szCs w:val="28"/>
        </w:rPr>
        <w:t>（</w:t>
      </w:r>
      <w:r>
        <w:fldChar w:fldCharType="begin"/>
      </w:r>
      <w:r>
        <w:instrText xml:space="preserve"> HYPERLINK "http://syzxsb.hbue.edu.cn/1c/32/c7979a269362/page.htm" </w:instrText>
      </w:r>
      <w:r>
        <w:fldChar w:fldCharType="separate"/>
      </w:r>
      <w:r>
        <w:rPr>
          <w:rStyle w:val="18"/>
          <w:rFonts w:ascii="黑体" w:hAnsi="黑体" w:eastAsia="黑体" w:cs="仿宋_GB2312"/>
          <w:sz w:val="28"/>
          <w:szCs w:val="28"/>
        </w:rPr>
        <w:t>http://syzxsb.hbue.edu.cn/1c/32/c7979a269362/page.htm</w:t>
      </w:r>
      <w:r>
        <w:rPr>
          <w:rStyle w:val="18"/>
          <w:rFonts w:ascii="黑体" w:hAnsi="黑体" w:eastAsia="黑体" w:cs="仿宋_GB2312"/>
          <w:sz w:val="28"/>
          <w:szCs w:val="28"/>
        </w:rPr>
        <w:fldChar w:fldCharType="end"/>
      </w:r>
      <w:r>
        <w:rPr>
          <w:rFonts w:ascii="黑体" w:hAnsi="黑体" w:eastAsia="黑体" w:cs="仿宋_GB2312"/>
          <w:sz w:val="28"/>
          <w:szCs w:val="28"/>
        </w:rPr>
        <w:t>）</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7、任晓阳一行出席省经管实验教学示范中心联席会并做主题发言</w:t>
      </w:r>
    </w:p>
    <w:p>
      <w:pPr>
        <w:ind w:firstLine="420" w:firstLineChars="200"/>
        <w:rPr>
          <w:rFonts w:ascii="黑体" w:hAnsi="黑体" w:eastAsia="黑体" w:cs="仿宋_GB2312"/>
          <w:sz w:val="28"/>
          <w:szCs w:val="28"/>
        </w:rPr>
      </w:pPr>
      <w:r>
        <w:rPr>
          <w:rFonts w:hint="eastAsia" w:ascii="微软雅黑" w:hAnsi="微软雅黑" w:eastAsia="微软雅黑"/>
          <w:color w:val="333333"/>
          <w:sz w:val="21"/>
          <w:szCs w:val="21"/>
        </w:rPr>
        <w:drawing>
          <wp:anchor distT="0" distB="0" distL="114300" distR="114300" simplePos="0" relativeHeight="251664384" behindDoc="0" locked="0" layoutInCell="1" allowOverlap="1">
            <wp:simplePos x="0" y="0"/>
            <wp:positionH relativeFrom="column">
              <wp:posOffset>12700</wp:posOffset>
            </wp:positionH>
            <wp:positionV relativeFrom="paragraph">
              <wp:posOffset>71755</wp:posOffset>
            </wp:positionV>
            <wp:extent cx="2996565" cy="1692910"/>
            <wp:effectExtent l="19050" t="0" r="0" b="0"/>
            <wp:wrapSquare wrapText="bothSides"/>
            <wp:docPr id="19" name="图片 19" descr="http://syzxsb.hbue.edu.cn/_upload/article/images/85/e1/747d569d4e3db2d94ca9f93dae53/cc6b4ce7-ddd6-46e3-a403-1aac9dd183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yzxsb.hbue.edu.cn/_upload/article/images/85/e1/747d569d4e3db2d94ca9f93dae53/cc6b4ce7-ddd6-46e3-a403-1aac9dd1831c.png"/>
                    <pic:cNvPicPr>
                      <a:picLocks noChangeAspect="1" noChangeArrowheads="1"/>
                    </pic:cNvPicPr>
                  </pic:nvPicPr>
                  <pic:blipFill>
                    <a:blip r:embed="rId12" cstate="print"/>
                    <a:srcRect/>
                    <a:stretch>
                      <a:fillRect/>
                    </a:stretch>
                  </pic:blipFill>
                  <pic:spPr>
                    <a:xfrm>
                      <a:off x="0" y="0"/>
                      <a:ext cx="2996565" cy="1692910"/>
                    </a:xfrm>
                    <a:prstGeom prst="rect">
                      <a:avLst/>
                    </a:prstGeom>
                    <a:noFill/>
                    <a:ln w="9525">
                      <a:noFill/>
                      <a:miter lim="800000"/>
                      <a:headEnd/>
                      <a:tailEnd/>
                    </a:ln>
                  </pic:spPr>
                </pic:pic>
              </a:graphicData>
            </a:graphic>
          </wp:anchor>
        </w:drawing>
      </w:r>
      <w:r>
        <w:rPr>
          <w:rFonts w:hint="eastAsia" w:ascii="微软雅黑" w:hAnsi="微软雅黑" w:eastAsia="微软雅黑"/>
          <w:color w:val="333333"/>
          <w:sz w:val="21"/>
          <w:szCs w:val="21"/>
          <w:shd w:val="clear" w:color="auto" w:fill="FFFFFF"/>
        </w:rPr>
        <w:t> </w:t>
      </w:r>
      <w:r>
        <w:rPr>
          <w:rFonts w:ascii="楷体" w:hAnsi="楷体" w:eastAsia="楷体" w:cs="仿宋_GB2312"/>
          <w:sz w:val="28"/>
          <w:szCs w:val="28"/>
        </w:rPr>
        <w:t>2022</w:t>
      </w:r>
      <w:r>
        <w:rPr>
          <w:rFonts w:hint="eastAsia" w:ascii="楷体" w:hAnsi="楷体" w:eastAsia="楷体" w:cs="仿宋_GB2312"/>
          <w:sz w:val="28"/>
          <w:szCs w:val="28"/>
        </w:rPr>
        <w:t>年</w:t>
      </w:r>
      <w:r>
        <w:rPr>
          <w:rFonts w:ascii="楷体" w:hAnsi="楷体" w:eastAsia="楷体" w:cs="仿宋_GB2312"/>
          <w:sz w:val="28"/>
          <w:szCs w:val="28"/>
        </w:rPr>
        <w:t>12</w:t>
      </w:r>
      <w:r>
        <w:rPr>
          <w:rFonts w:hint="eastAsia" w:ascii="楷体" w:hAnsi="楷体" w:eastAsia="楷体" w:cs="仿宋_GB2312"/>
          <w:sz w:val="28"/>
          <w:szCs w:val="28"/>
        </w:rPr>
        <w:t>月</w:t>
      </w:r>
      <w:r>
        <w:rPr>
          <w:rFonts w:ascii="楷体" w:hAnsi="楷体" w:eastAsia="楷体" w:cs="仿宋_GB2312"/>
          <w:sz w:val="28"/>
          <w:szCs w:val="28"/>
        </w:rPr>
        <w:t>10</w:t>
      </w:r>
      <w:r>
        <w:rPr>
          <w:rFonts w:hint="eastAsia" w:ascii="楷体" w:hAnsi="楷体" w:eastAsia="楷体" w:cs="仿宋_GB2312"/>
          <w:sz w:val="28"/>
          <w:szCs w:val="28"/>
        </w:rPr>
        <w:t>日，“湖北省高校经济管理实验教学示范中心联席会第十二届年会暨新商科背景下经济管理实验教学创新研讨会”以线上方式召开。会议由江汉大学举办，江汉大学副校长李卫东、国家级实验教学示范中心联席会经管学科组组长、山东大学商学院院长戚桂杰以及省经管实验教学示范中心联席会领导及来自全省49所高校的老师参加。我校任晓阳、陈新武、毛志斌及实验教学中心全体教师参加了会议。</w:t>
      </w:r>
    </w:p>
    <w:p>
      <w:pPr>
        <w:rPr>
          <w:rFonts w:ascii="黑体" w:hAnsi="黑体" w:eastAsia="黑体" w:cs="仿宋_GB2312"/>
          <w:sz w:val="28"/>
          <w:szCs w:val="28"/>
        </w:rPr>
      </w:pPr>
      <w:r>
        <w:rPr>
          <w:rFonts w:hint="eastAsia" w:ascii="黑体" w:hAnsi="黑体" w:eastAsia="黑体" w:cs="仿宋_GB2312"/>
          <w:sz w:val="28"/>
          <w:szCs w:val="28"/>
        </w:rPr>
        <w:t>（</w:t>
      </w:r>
      <w:r>
        <w:fldChar w:fldCharType="begin"/>
      </w:r>
      <w:r>
        <w:instrText xml:space="preserve"> HYPERLINK "http://syzxsb.hbue.edu.cn/29/9d/c7979a272797/page.htm" </w:instrText>
      </w:r>
      <w:r>
        <w:fldChar w:fldCharType="separate"/>
      </w:r>
      <w:r>
        <w:rPr>
          <w:rStyle w:val="18"/>
          <w:rFonts w:ascii="黑体" w:hAnsi="黑体" w:eastAsia="黑体" w:cs="仿宋_GB2312"/>
          <w:sz w:val="28"/>
          <w:szCs w:val="28"/>
        </w:rPr>
        <w:t>http://syzxsb.hbue.edu.cn/29/9d/c7979a272797/page.htm</w:t>
      </w:r>
      <w:r>
        <w:rPr>
          <w:rStyle w:val="18"/>
          <w:rFonts w:ascii="黑体" w:hAnsi="黑体" w:eastAsia="黑体" w:cs="仿宋_GB2312"/>
          <w:sz w:val="28"/>
          <w:szCs w:val="28"/>
        </w:rPr>
        <w:fldChar w:fldCharType="end"/>
      </w:r>
      <w:r>
        <w:rPr>
          <w:rFonts w:ascii="黑体" w:hAnsi="黑体" w:eastAsia="黑体" w:cs="仿宋_GB2312"/>
          <w:sz w:val="28"/>
          <w:szCs w:val="28"/>
        </w:rPr>
        <w:t>）</w:t>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8、荣获山东省第九届教学成果（高等教育类）一等奖</w:t>
      </w:r>
    </w:p>
    <w:p>
      <w:pPr>
        <w:ind w:firstLine="560" w:firstLineChars="200"/>
        <w:rPr>
          <w:rFonts w:ascii="仿宋" w:hAnsi="仿宋" w:eastAsia="仿宋"/>
          <w:sz w:val="28"/>
          <w:szCs w:val="28"/>
        </w:rPr>
      </w:pPr>
      <w:r>
        <w:rPr>
          <w:rFonts w:hint="eastAsia" w:ascii="仿宋" w:hAnsi="仿宋" w:eastAsia="仿宋"/>
          <w:sz w:val="28"/>
          <w:szCs w:val="28"/>
        </w:rPr>
        <w:t>2022年3月，由山东财经大学丛建阁教授牵头，我校作为第二参与单位完成的《面向新商科的数智化实验教学新生态建设与应用》教学成果获</w:t>
      </w:r>
      <w:bookmarkStart w:id="0" w:name="_Hlk120633628"/>
      <w:r>
        <w:rPr>
          <w:rFonts w:hint="eastAsia" w:ascii="仿宋" w:hAnsi="仿宋" w:eastAsia="仿宋"/>
          <w:sz w:val="28"/>
          <w:szCs w:val="28"/>
        </w:rPr>
        <w:t>山东省第九届教学成果（高等教育类）一等奖</w:t>
      </w:r>
      <w:bookmarkEnd w:id="0"/>
      <w:r>
        <w:rPr>
          <w:rFonts w:hint="eastAsia" w:ascii="仿宋" w:hAnsi="仿宋" w:eastAsia="仿宋"/>
          <w:sz w:val="28"/>
          <w:szCs w:val="28"/>
        </w:rPr>
        <w:t>。</w:t>
      </w:r>
    </w:p>
    <w:p>
      <w:pPr>
        <w:rPr>
          <w:rFonts w:ascii="仿宋" w:hAnsi="仿宋" w:eastAsia="仿宋"/>
          <w:sz w:val="28"/>
          <w:szCs w:val="28"/>
        </w:rPr>
      </w:pPr>
      <w:r>
        <w:rPr>
          <w:rFonts w:hint="eastAsia" w:ascii="仿宋" w:hAnsi="仿宋" w:eastAsia="仿宋"/>
          <w:sz w:val="28"/>
          <w:szCs w:val="28"/>
        </w:rPr>
        <w:drawing>
          <wp:inline distT="0" distB="0" distL="0" distR="0">
            <wp:extent cx="5274310" cy="1452245"/>
            <wp:effectExtent l="0" t="0" r="2540"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3" cstate="print"/>
                    <a:srcRect/>
                    <a:stretch>
                      <a:fillRect/>
                    </a:stretch>
                  </pic:blipFill>
                  <pic:spPr>
                    <a:xfrm>
                      <a:off x="0" y="0"/>
                      <a:ext cx="5274310" cy="1452657"/>
                    </a:xfrm>
                    <a:prstGeom prst="rect">
                      <a:avLst/>
                    </a:prstGeom>
                    <a:noFill/>
                    <a:ln w="9525">
                      <a:noFill/>
                      <a:miter lim="800000"/>
                      <a:headEnd/>
                      <a:tailEnd/>
                    </a:ln>
                  </pic:spPr>
                </pic:pic>
              </a:graphicData>
            </a:graphic>
          </wp:inline>
        </w:drawing>
      </w:r>
    </w:p>
    <w:p>
      <w:pPr>
        <w:pStyle w:val="2"/>
        <w:shd w:val="clear" w:color="auto" w:fill="FFFFFF"/>
        <w:spacing w:before="0" w:beforeAutospacing="0" w:after="0" w:afterAutospacing="0" w:line="347" w:lineRule="atLeast"/>
        <w:ind w:firstLine="560" w:firstLineChars="200"/>
        <w:rPr>
          <w:rFonts w:ascii="黑体" w:hAnsi="黑体" w:eastAsia="黑体" w:cs="黑体"/>
          <w:b w:val="0"/>
          <w:bCs w:val="0"/>
          <w:kern w:val="2"/>
          <w:sz w:val="28"/>
          <w:szCs w:val="28"/>
        </w:rPr>
      </w:pPr>
      <w:r>
        <w:rPr>
          <w:rFonts w:hint="eastAsia" w:ascii="黑体" w:hAnsi="黑体" w:eastAsia="黑体" w:cs="黑体"/>
          <w:b w:val="0"/>
          <w:bCs w:val="0"/>
          <w:kern w:val="2"/>
          <w:sz w:val="28"/>
          <w:szCs w:val="28"/>
        </w:rPr>
        <w:t>9、荣获山东省第九届教学成果（高等教育类）二等奖</w:t>
      </w:r>
    </w:p>
    <w:p>
      <w:pPr>
        <w:ind w:firstLine="560" w:firstLineChars="200"/>
        <w:rPr>
          <w:rFonts w:ascii="仿宋" w:hAnsi="仿宋" w:eastAsia="仿宋"/>
          <w:sz w:val="28"/>
          <w:szCs w:val="28"/>
        </w:rPr>
      </w:pPr>
      <w:r>
        <w:rPr>
          <w:rFonts w:hint="eastAsia" w:ascii="仿宋" w:hAnsi="仿宋" w:eastAsia="仿宋"/>
          <w:sz w:val="28"/>
          <w:szCs w:val="28"/>
        </w:rPr>
        <w:t>2022年3月，由山东大学牵头，实验教学中心主任任晓阳参与的《立德树人导向的经管学科“一二三”实验案例教学模式创新》教学成果获山东省第九届教学成果（高等教育类）二等奖。</w:t>
      </w:r>
    </w:p>
    <w:p>
      <w:pPr>
        <w:jc w:val="center"/>
        <w:rPr>
          <w:rFonts w:ascii="仿宋" w:hAnsi="仿宋" w:eastAsia="仿宋"/>
          <w:sz w:val="28"/>
          <w:szCs w:val="28"/>
        </w:rPr>
      </w:pPr>
      <w:r>
        <w:rPr>
          <w:rFonts w:ascii="仿宋" w:hAnsi="仿宋" w:eastAsia="仿宋"/>
          <w:sz w:val="28"/>
          <w:szCs w:val="28"/>
        </w:rPr>
        <w:drawing>
          <wp:inline distT="0" distB="0" distL="0" distR="0">
            <wp:extent cx="3693160" cy="25495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srcRect/>
                    <a:stretch>
                      <a:fillRect/>
                    </a:stretch>
                  </pic:blipFill>
                  <pic:spPr>
                    <a:xfrm>
                      <a:off x="0" y="0"/>
                      <a:ext cx="3693160" cy="2549525"/>
                    </a:xfrm>
                    <a:prstGeom prst="rect">
                      <a:avLst/>
                    </a:prstGeom>
                    <a:noFill/>
                    <a:ln w="9525">
                      <a:noFill/>
                      <a:miter lim="800000"/>
                      <a:headEnd/>
                      <a:tailEnd/>
                    </a:ln>
                  </pic:spPr>
                </pic:pic>
              </a:graphicData>
            </a:graphic>
          </wp:inline>
        </w:drawing>
      </w:r>
    </w:p>
    <w:p>
      <w:pPr>
        <w:ind w:firstLine="560" w:firstLineChars="200"/>
        <w:rPr>
          <w:rFonts w:ascii="黑体" w:hAnsi="黑体" w:eastAsia="黑体" w:cs="仿宋_GB2312"/>
          <w:color w:val="000000" w:themeColor="text1"/>
          <w:sz w:val="28"/>
          <w:szCs w:val="28"/>
        </w:rPr>
      </w:pPr>
      <w:r>
        <w:rPr>
          <w:rFonts w:hint="eastAsia" w:ascii="黑体" w:hAnsi="黑体" w:eastAsia="黑体" w:cs="仿宋_GB2312"/>
          <w:color w:val="000000" w:themeColor="text1"/>
          <w:sz w:val="28"/>
          <w:szCs w:val="28"/>
        </w:rPr>
        <w:t>六、示范中心存在的主要问题</w:t>
      </w:r>
    </w:p>
    <w:p>
      <w:pPr>
        <w:snapToGrid w:val="0"/>
        <w:spacing w:line="520" w:lineRule="exact"/>
        <w:ind w:firstLine="556"/>
        <w:rPr>
          <w:rFonts w:ascii="黑体" w:hAnsi="黑体" w:eastAsia="黑体" w:cs="仿宋_GB2312"/>
          <w:color w:val="000000" w:themeColor="text1"/>
          <w:sz w:val="28"/>
          <w:szCs w:val="28"/>
        </w:rPr>
      </w:pPr>
      <w:r>
        <w:rPr>
          <w:rFonts w:hint="eastAsia" w:ascii="楷体" w:hAnsi="楷体" w:eastAsia="楷体" w:cs="楷体"/>
          <w:sz w:val="28"/>
          <w:szCs w:val="28"/>
        </w:rPr>
        <w:t>202</w:t>
      </w:r>
      <w:r>
        <w:rPr>
          <w:rFonts w:ascii="楷体" w:hAnsi="楷体" w:eastAsia="楷体" w:cs="楷体"/>
          <w:sz w:val="28"/>
          <w:szCs w:val="28"/>
        </w:rPr>
        <w:t>2</w:t>
      </w:r>
      <w:r>
        <w:rPr>
          <w:rFonts w:hint="eastAsia" w:ascii="楷体" w:hAnsi="楷体" w:eastAsia="楷体" w:cs="楷体"/>
          <w:sz w:val="28"/>
          <w:szCs w:val="28"/>
        </w:rPr>
        <w:t>年示范中心存在的主要问题表现为：一是实验教学体系建设中需要独立设计开发具有“湖经特色”的多组织实验实训平台；二是由于组织多学科多专业的综合仿真实验教学对运行和存储要求较高，急需高性能服务器支撑；三是实验教学内容体系中，存在各学科各专业之间不够均衡及实验教学内容深度广度不足的问题；四是按照教育部新文科建设要求，在经管类实验教学与现代信息科学技术的深度融合方面还有极大的努力空间；五是实验教学高水平标志性教学成果方面仍需凝练和突破。</w:t>
      </w:r>
    </w:p>
    <w:p>
      <w:pPr>
        <w:ind w:firstLine="560" w:firstLineChars="200"/>
        <w:rPr>
          <w:rFonts w:ascii="黑体" w:hAnsi="黑体" w:eastAsia="黑体" w:cs="仿宋_GB2312"/>
          <w:color w:val="000000" w:themeColor="text1"/>
          <w:sz w:val="28"/>
          <w:szCs w:val="28"/>
        </w:rPr>
      </w:pPr>
      <w:r>
        <w:rPr>
          <w:rFonts w:hint="eastAsia" w:ascii="黑体" w:hAnsi="黑体" w:eastAsia="黑体" w:cs="仿宋_GB2312"/>
          <w:color w:val="000000" w:themeColor="text1"/>
          <w:sz w:val="28"/>
          <w:szCs w:val="28"/>
        </w:rPr>
        <w:t>七、所在学校与学校上级主管部门的支持</w:t>
      </w:r>
    </w:p>
    <w:p>
      <w:pPr>
        <w:spacing w:line="520" w:lineRule="exact"/>
        <w:ind w:firstLine="560" w:firstLineChars="200"/>
        <w:rPr>
          <w:rFonts w:ascii="楷体" w:hAnsi="楷体" w:eastAsia="楷体" w:cs="楷体"/>
          <w:sz w:val="28"/>
          <w:szCs w:val="28"/>
        </w:rPr>
      </w:pPr>
      <w:r>
        <w:rPr>
          <w:rFonts w:hint="eastAsia" w:ascii="楷体" w:hAnsi="楷体" w:eastAsia="楷体" w:cs="楷体"/>
          <w:sz w:val="28"/>
          <w:szCs w:val="28"/>
        </w:rPr>
        <w:t>学校领导也高度重视中心建设和发展问题，并在《湖北经济学院“十四五”事业发展规划》和《湖北经济学院综合改革方案（20</w:t>
      </w:r>
      <w:r>
        <w:rPr>
          <w:rFonts w:ascii="楷体" w:hAnsi="楷体" w:eastAsia="楷体" w:cs="楷体"/>
          <w:sz w:val="28"/>
          <w:szCs w:val="28"/>
        </w:rPr>
        <w:t>21-2025</w:t>
      </w:r>
      <w:r>
        <w:rPr>
          <w:rFonts w:hint="eastAsia" w:ascii="楷体" w:hAnsi="楷体" w:eastAsia="楷体" w:cs="楷体"/>
          <w:sz w:val="28"/>
          <w:szCs w:val="28"/>
        </w:rPr>
        <w:t>）》中专门提出了对中心改革要求并作出了部署。202</w:t>
      </w:r>
      <w:r>
        <w:rPr>
          <w:rFonts w:ascii="楷体" w:hAnsi="楷体" w:eastAsia="楷体" w:cs="楷体"/>
          <w:sz w:val="28"/>
          <w:szCs w:val="28"/>
        </w:rPr>
        <w:t>2</w:t>
      </w:r>
      <w:r>
        <w:rPr>
          <w:rFonts w:hint="eastAsia" w:ascii="楷体" w:hAnsi="楷体" w:eastAsia="楷体" w:cs="楷体"/>
          <w:sz w:val="28"/>
          <w:szCs w:val="28"/>
        </w:rPr>
        <w:t>年学校对示范中心教学改革给予了充分支持，利用财政资金投入了</w:t>
      </w:r>
      <w:r>
        <w:rPr>
          <w:rFonts w:ascii="楷体" w:hAnsi="楷体" w:eastAsia="楷体" w:cs="楷体"/>
          <w:sz w:val="28"/>
          <w:szCs w:val="28"/>
        </w:rPr>
        <w:t>227</w:t>
      </w:r>
      <w:r>
        <w:rPr>
          <w:rFonts w:hint="eastAsia" w:ascii="楷体" w:hAnsi="楷体" w:eastAsia="楷体" w:cs="楷体"/>
          <w:sz w:val="28"/>
          <w:szCs w:val="28"/>
        </w:rPr>
        <w:t>万元和贴息贷款9</w:t>
      </w:r>
      <w:r>
        <w:rPr>
          <w:rFonts w:ascii="楷体" w:hAnsi="楷体" w:eastAsia="楷体" w:cs="楷体"/>
          <w:sz w:val="28"/>
          <w:szCs w:val="28"/>
        </w:rPr>
        <w:t>96</w:t>
      </w:r>
      <w:r>
        <w:rPr>
          <w:rFonts w:hint="eastAsia" w:ascii="楷体" w:hAnsi="楷体" w:eastAsia="楷体" w:cs="楷体"/>
          <w:sz w:val="28"/>
          <w:szCs w:val="28"/>
        </w:rPr>
        <w:t>万元购置了各类实验教学软硬件，完成了“新文科”实验室的初步建设；湖北省教育厅多次到示范中心指导工作，且在示范中心申报虚拟仿真实验教学项目工作中给予了重大帮助与支持，推荐申报1项国家级虚拟仿真实验教学项目。</w:t>
      </w:r>
    </w:p>
    <w:p>
      <w:pPr>
        <w:jc w:val="center"/>
        <w:rPr>
          <w:rFonts w:ascii="黑体" w:hAnsi="黑体" w:eastAsia="黑体"/>
          <w:b/>
          <w:bCs/>
          <w:w w:val="90"/>
          <w:sz w:val="32"/>
          <w:szCs w:val="32"/>
        </w:rPr>
      </w:pPr>
      <w:r>
        <w:rPr>
          <w:rFonts w:hint="eastAsia" w:ascii="黑体" w:hAnsi="黑体" w:eastAsia="黑体" w:cs="仿宋_GB2312"/>
          <w:b/>
          <w:bCs/>
          <w:w w:val="90"/>
          <w:sz w:val="32"/>
          <w:szCs w:val="32"/>
        </w:rPr>
        <w:t>第二部分</w:t>
      </w:r>
      <w:r>
        <w:rPr>
          <w:rFonts w:hint="eastAsia" w:ascii="黑体" w:hAnsi="黑体" w:eastAsia="黑体"/>
          <w:b/>
          <w:bCs/>
          <w:w w:val="90"/>
          <w:sz w:val="32"/>
          <w:szCs w:val="32"/>
        </w:rPr>
        <w:t xml:space="preserve"> 示范中心数据</w:t>
      </w:r>
    </w:p>
    <w:p>
      <w:pPr>
        <w:jc w:val="center"/>
        <w:rPr>
          <w:rFonts w:ascii="楷体" w:hAnsi="楷体" w:eastAsia="楷体" w:cs="仿宋_GB2312"/>
          <w:b/>
          <w:bCs/>
          <w:w w:val="90"/>
          <w:sz w:val="28"/>
          <w:szCs w:val="28"/>
        </w:rPr>
      </w:pPr>
      <w:r>
        <w:rPr>
          <w:rFonts w:hint="eastAsia" w:ascii="楷体" w:hAnsi="楷体" w:eastAsia="楷体" w:cs="仿宋_GB2312"/>
          <w:b/>
          <w:bCs/>
          <w:w w:val="90"/>
          <w:sz w:val="28"/>
          <w:szCs w:val="28"/>
        </w:rPr>
        <w:t>（</w:t>
      </w:r>
      <w:r>
        <w:rPr>
          <w:rFonts w:hint="eastAsia" w:ascii="楷体" w:hAnsi="楷体" w:eastAsia="楷体" w:cs="仿宋_GB2312"/>
          <w:w w:val="90"/>
          <w:sz w:val="28"/>
          <w:szCs w:val="28"/>
        </w:rPr>
        <w:t>数据采集时间为</w:t>
      </w:r>
      <w:r>
        <w:rPr>
          <w:rFonts w:hint="eastAsia" w:ascii="楷体" w:hAnsi="楷体" w:eastAsia="楷体"/>
          <w:w w:val="90"/>
          <w:sz w:val="28"/>
          <w:szCs w:val="28"/>
        </w:rPr>
        <w:t xml:space="preserve"> 2022年1</w:t>
      </w:r>
      <w:r>
        <w:rPr>
          <w:rFonts w:hint="eastAsia" w:ascii="楷体" w:hAnsi="楷体" w:eastAsia="楷体" w:cs="仿宋_GB2312"/>
          <w:w w:val="90"/>
          <w:sz w:val="28"/>
          <w:szCs w:val="28"/>
        </w:rPr>
        <w:t>月</w:t>
      </w:r>
      <w:r>
        <w:rPr>
          <w:rFonts w:hint="eastAsia" w:ascii="楷体" w:hAnsi="楷体" w:eastAsia="楷体"/>
          <w:w w:val="90"/>
          <w:sz w:val="28"/>
          <w:szCs w:val="28"/>
        </w:rPr>
        <w:t>1</w:t>
      </w:r>
      <w:r>
        <w:rPr>
          <w:rFonts w:hint="eastAsia" w:ascii="楷体" w:hAnsi="楷体" w:eastAsia="楷体" w:cs="仿宋_GB2312"/>
          <w:w w:val="90"/>
          <w:sz w:val="28"/>
          <w:szCs w:val="28"/>
        </w:rPr>
        <w:t>日至</w:t>
      </w:r>
      <w:r>
        <w:rPr>
          <w:rFonts w:hint="eastAsia" w:ascii="楷体" w:hAnsi="楷体" w:eastAsia="楷体"/>
          <w:w w:val="90"/>
          <w:sz w:val="28"/>
          <w:szCs w:val="28"/>
        </w:rPr>
        <w:t>12</w:t>
      </w:r>
      <w:r>
        <w:rPr>
          <w:rFonts w:hint="eastAsia" w:ascii="楷体" w:hAnsi="楷体" w:eastAsia="楷体" w:cs="仿宋_GB2312"/>
          <w:w w:val="90"/>
          <w:sz w:val="28"/>
          <w:szCs w:val="28"/>
        </w:rPr>
        <w:t>月</w:t>
      </w:r>
      <w:r>
        <w:rPr>
          <w:rFonts w:hint="eastAsia" w:ascii="楷体" w:hAnsi="楷体" w:eastAsia="楷体"/>
          <w:w w:val="90"/>
          <w:sz w:val="28"/>
          <w:szCs w:val="28"/>
        </w:rPr>
        <w:t>31</w:t>
      </w:r>
      <w:r>
        <w:rPr>
          <w:rFonts w:hint="eastAsia" w:ascii="楷体" w:hAnsi="楷体" w:eastAsia="楷体" w:cs="仿宋_GB2312"/>
          <w:w w:val="90"/>
          <w:sz w:val="28"/>
          <w:szCs w:val="28"/>
        </w:rPr>
        <w:t>日</w:t>
      </w:r>
      <w:r>
        <w:rPr>
          <w:rFonts w:hint="eastAsia" w:ascii="楷体" w:hAnsi="楷体" w:eastAsia="楷体" w:cs="仿宋_GB2312"/>
          <w:b/>
          <w:bCs/>
          <w:w w:val="90"/>
          <w:sz w:val="28"/>
          <w:szCs w:val="28"/>
        </w:rPr>
        <w:t>）</w:t>
      </w:r>
    </w:p>
    <w:p>
      <w:pPr>
        <w:spacing w:before="163" w:beforeLines="50" w:after="163" w:afterLines="50"/>
        <w:ind w:firstLine="643" w:firstLineChars="200"/>
        <w:rPr>
          <w:rFonts w:ascii="黑体" w:hAnsi="黑体" w:eastAsia="黑体"/>
          <w:b/>
          <w:bCs/>
          <w:sz w:val="32"/>
          <w:szCs w:val="32"/>
        </w:rPr>
      </w:pPr>
      <w:r>
        <w:rPr>
          <w:rFonts w:hint="eastAsia" w:ascii="黑体" w:hAnsi="黑体" w:eastAsia="黑体"/>
          <w:b/>
          <w:bCs/>
          <w:sz w:val="32"/>
          <w:szCs w:val="32"/>
        </w:rPr>
        <w:t>一、示范中心基本情况</w:t>
      </w:r>
    </w:p>
    <w:tbl>
      <w:tblPr>
        <w:tblStyle w:val="1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07"/>
        <w:gridCol w:w="1325"/>
        <w:gridCol w:w="959"/>
        <w:gridCol w:w="428"/>
        <w:gridCol w:w="889"/>
        <w:gridCol w:w="732"/>
        <w:gridCol w:w="801"/>
        <w:gridCol w:w="78"/>
        <w:gridCol w:w="78"/>
        <w:gridCol w:w="171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70" w:hRule="atLeast"/>
        </w:trPr>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示范中心名称</w:t>
            </w:r>
          </w:p>
        </w:tc>
        <w:tc>
          <w:tcPr>
            <w:tcW w:w="3337" w:type="pct"/>
            <w:gridSpan w:val="8"/>
            <w:vAlign w:val="center"/>
          </w:tcPr>
          <w:p>
            <w:pPr>
              <w:jc w:val="center"/>
              <w:rPr>
                <w:rFonts w:ascii="楷体" w:hAnsi="楷体" w:eastAsia="楷体" w:cs="楷体"/>
                <w:sz w:val="28"/>
                <w:szCs w:val="28"/>
              </w:rPr>
            </w:pPr>
            <w:r>
              <w:rPr>
                <w:rFonts w:hint="eastAsia" w:ascii="楷体" w:hAnsi="楷体" w:eastAsia="楷体" w:cs="楷体"/>
                <w:sz w:val="28"/>
                <w:szCs w:val="28"/>
              </w:rPr>
              <w:t>经济管理国家级实验教学示范中心</w:t>
            </w:r>
          </w:p>
          <w:p>
            <w:pPr>
              <w:jc w:val="center"/>
              <w:rPr>
                <w:rFonts w:ascii="楷体" w:hAnsi="楷体" w:eastAsia="楷体" w:cs="楷体"/>
                <w:sz w:val="28"/>
                <w:szCs w:val="28"/>
              </w:rPr>
            </w:pPr>
            <w:r>
              <w:rPr>
                <w:rFonts w:hint="eastAsia" w:ascii="楷体" w:hAnsi="楷体" w:eastAsia="楷体" w:cs="楷体"/>
                <w:sz w:val="28"/>
                <w:szCs w:val="28"/>
              </w:rPr>
              <w:t>（湖北经济学院）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4" w:hRule="atLeast"/>
        </w:trPr>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所在学校名称</w:t>
            </w:r>
          </w:p>
        </w:tc>
        <w:tc>
          <w:tcPr>
            <w:tcW w:w="3337" w:type="pct"/>
            <w:gridSpan w:val="8"/>
            <w:vAlign w:val="center"/>
          </w:tcPr>
          <w:p>
            <w:pPr>
              <w:jc w:val="center"/>
              <w:rPr>
                <w:rFonts w:ascii="楷体" w:hAnsi="楷体" w:eastAsia="楷体" w:cs="楷体"/>
                <w:sz w:val="28"/>
                <w:szCs w:val="28"/>
              </w:rPr>
            </w:pPr>
            <w:r>
              <w:rPr>
                <w:rFonts w:hint="eastAsia" w:ascii="楷体" w:hAnsi="楷体" w:eastAsia="楷体" w:cs="楷体"/>
                <w:sz w:val="28"/>
                <w:szCs w:val="28"/>
              </w:rPr>
              <w:t>湖北经济学院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9" w:hRule="atLeast"/>
        </w:trPr>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主管部门名称</w:t>
            </w:r>
          </w:p>
        </w:tc>
        <w:tc>
          <w:tcPr>
            <w:tcW w:w="3337" w:type="pct"/>
            <w:gridSpan w:val="8"/>
            <w:vAlign w:val="center"/>
          </w:tcPr>
          <w:p>
            <w:pPr>
              <w:jc w:val="center"/>
              <w:rPr>
                <w:rFonts w:ascii="楷体" w:hAnsi="楷体" w:eastAsia="楷体" w:cs="楷体"/>
                <w:sz w:val="28"/>
                <w:szCs w:val="28"/>
              </w:rPr>
            </w:pPr>
            <w:r>
              <w:rPr>
                <w:rFonts w:hint="eastAsia" w:ascii="楷体" w:hAnsi="楷体" w:eastAsia="楷体" w:cs="楷体"/>
                <w:sz w:val="28"/>
                <w:szCs w:val="28"/>
              </w:rPr>
              <w:t>湖北省教育厅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33" w:hRule="atLeast"/>
        </w:trPr>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示范中心门户网址</w:t>
            </w:r>
          </w:p>
        </w:tc>
        <w:tc>
          <w:tcPr>
            <w:tcW w:w="3337" w:type="pct"/>
            <w:gridSpan w:val="8"/>
            <w:vAlign w:val="center"/>
          </w:tcPr>
          <w:p>
            <w:pPr>
              <w:jc w:val="center"/>
              <w:rPr>
                <w:rFonts w:ascii="Times New Roman" w:hAnsi="Times New Roman" w:eastAsia="黑体" w:cs="Times New Roman"/>
                <w:bCs/>
                <w:sz w:val="28"/>
                <w:szCs w:val="28"/>
              </w:rPr>
            </w:pPr>
            <w:r>
              <w:rPr>
                <w:rFonts w:ascii="Times New Roman" w:hAnsi="Times New Roman" w:cs="Times New Roman"/>
                <w:bCs/>
                <w:sz w:val="28"/>
                <w:szCs w:val="28"/>
              </w:rPr>
              <w:t>http://syzxsb.hbue.edu.cn/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示范中心详细地址</w:t>
            </w:r>
          </w:p>
        </w:tc>
        <w:tc>
          <w:tcPr>
            <w:tcW w:w="1766" w:type="pct"/>
            <w:gridSpan w:val="4"/>
            <w:vAlign w:val="center"/>
          </w:tcPr>
          <w:p>
            <w:pPr>
              <w:jc w:val="center"/>
              <w:rPr>
                <w:rFonts w:ascii="黑体" w:hAnsi="黑体" w:eastAsia="黑体"/>
                <w:bCs/>
                <w:sz w:val="28"/>
                <w:szCs w:val="28"/>
              </w:rPr>
            </w:pPr>
            <w:r>
              <w:rPr>
                <w:rFonts w:hint="eastAsia" w:ascii="楷体" w:hAnsi="楷体" w:eastAsia="楷体" w:cs="楷体"/>
                <w:sz w:val="28"/>
                <w:szCs w:val="28"/>
              </w:rPr>
              <w:t>武汉市江夏区藏龙岛开发区杨桥湖大道</w:t>
            </w:r>
            <w:r>
              <w:rPr>
                <w:rFonts w:ascii="楷体" w:hAnsi="楷体" w:eastAsia="楷体" w:cs="楷体"/>
                <w:sz w:val="28"/>
                <w:szCs w:val="28"/>
              </w:rPr>
              <w:t>8</w:t>
            </w:r>
            <w:r>
              <w:rPr>
                <w:rFonts w:hint="eastAsia" w:ascii="楷体" w:hAnsi="楷体" w:eastAsia="楷体" w:cs="楷体"/>
                <w:sz w:val="28"/>
                <w:szCs w:val="28"/>
              </w:rPr>
              <w:t>号</w:t>
            </w:r>
          </w:p>
        </w:tc>
        <w:tc>
          <w:tcPr>
            <w:tcW w:w="562" w:type="pct"/>
            <w:gridSpan w:val="3"/>
            <w:vAlign w:val="center"/>
          </w:tcPr>
          <w:p>
            <w:pPr>
              <w:jc w:val="center"/>
              <w:rPr>
                <w:rFonts w:ascii="黑体" w:hAnsi="黑体" w:eastAsia="黑体"/>
                <w:bCs/>
                <w:sz w:val="28"/>
                <w:szCs w:val="28"/>
              </w:rPr>
            </w:pPr>
            <w:r>
              <w:rPr>
                <w:rFonts w:hint="eastAsia" w:ascii="黑体" w:hAnsi="黑体" w:eastAsia="黑体"/>
                <w:bCs/>
                <w:sz w:val="28"/>
                <w:szCs w:val="28"/>
              </w:rPr>
              <w:t>邮政编码</w:t>
            </w:r>
          </w:p>
        </w:tc>
        <w:tc>
          <w:tcPr>
            <w:tcW w:w="1009" w:type="pct"/>
            <w:vAlign w:val="center"/>
          </w:tcPr>
          <w:p>
            <w:pPr>
              <w:jc w:val="center"/>
              <w:rPr>
                <w:rFonts w:ascii="黑体" w:hAnsi="黑体" w:eastAsia="黑体"/>
                <w:bCs/>
                <w:sz w:val="28"/>
                <w:szCs w:val="28"/>
              </w:rPr>
            </w:pPr>
            <w:r>
              <w:rPr>
                <w:rFonts w:ascii="楷体" w:hAnsi="楷体" w:eastAsia="楷体" w:cs="楷体"/>
                <w:sz w:val="28"/>
                <w:szCs w:val="28"/>
              </w:rPr>
              <w:t>430205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92" w:hRule="atLeast"/>
        </w:trPr>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固定资产情况</w:t>
            </w:r>
          </w:p>
        </w:tc>
        <w:tc>
          <w:tcPr>
            <w:tcW w:w="3337" w:type="pct"/>
            <w:gridSpan w:val="8"/>
            <w:vAlign w:val="center"/>
          </w:tcPr>
          <w:p>
            <w:pPr>
              <w:jc w:val="center"/>
              <w:rPr>
                <w:rFonts w:ascii="黑体" w:hAnsi="黑体" w:eastAsia="黑体"/>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85" w:type="pct"/>
            <w:vAlign w:val="center"/>
          </w:tcPr>
          <w:p>
            <w:pPr>
              <w:jc w:val="center"/>
              <w:rPr>
                <w:rFonts w:ascii="黑体" w:hAnsi="黑体" w:eastAsia="黑体"/>
                <w:bCs/>
                <w:sz w:val="28"/>
                <w:szCs w:val="28"/>
              </w:rPr>
            </w:pPr>
            <w:r>
              <w:rPr>
                <w:rFonts w:hint="eastAsia" w:ascii="黑体" w:hAnsi="黑体" w:eastAsia="黑体"/>
                <w:bCs/>
                <w:sz w:val="28"/>
                <w:szCs w:val="28"/>
              </w:rPr>
              <w:t>建筑面积</w:t>
            </w:r>
          </w:p>
        </w:tc>
        <w:tc>
          <w:tcPr>
            <w:tcW w:w="778" w:type="pct"/>
            <w:vAlign w:val="center"/>
          </w:tcPr>
          <w:p>
            <w:pPr>
              <w:jc w:val="center"/>
              <w:rPr>
                <w:rFonts w:ascii="楷体" w:hAnsi="楷体" w:eastAsia="楷体"/>
                <w:bCs/>
                <w:sz w:val="28"/>
                <w:szCs w:val="28"/>
              </w:rPr>
            </w:pPr>
            <w:r>
              <w:rPr>
                <w:rFonts w:ascii="楷体" w:hAnsi="楷体" w:eastAsia="楷体" w:cs="楷体"/>
                <w:sz w:val="28"/>
                <w:szCs w:val="28"/>
              </w:rPr>
              <w:t>5</w:t>
            </w:r>
            <w:r>
              <w:rPr>
                <w:rFonts w:hint="eastAsia" w:ascii="楷体" w:hAnsi="楷体" w:eastAsia="楷体" w:cs="楷体"/>
                <w:sz w:val="28"/>
                <w:szCs w:val="28"/>
              </w:rPr>
              <w:t>7</w:t>
            </w:r>
            <w:r>
              <w:rPr>
                <w:rFonts w:ascii="楷体" w:hAnsi="楷体" w:eastAsia="楷体" w:cs="楷体"/>
                <w:sz w:val="28"/>
                <w:szCs w:val="28"/>
              </w:rPr>
              <w:t>60.2</w:t>
            </w:r>
            <w:r>
              <w:rPr>
                <w:rFonts w:hint="eastAsia" w:ascii="楷体" w:hAnsi="楷体" w:eastAsia="楷体" w:cs="楷体"/>
                <w:sz w:val="28"/>
                <w:szCs w:val="28"/>
              </w:rPr>
              <w:t>5㎡</w:t>
            </w:r>
          </w:p>
        </w:tc>
        <w:tc>
          <w:tcPr>
            <w:tcW w:w="563" w:type="pct"/>
            <w:vAlign w:val="center"/>
          </w:tcPr>
          <w:p>
            <w:pPr>
              <w:jc w:val="center"/>
              <w:rPr>
                <w:rFonts w:ascii="黑体" w:hAnsi="黑体" w:eastAsia="黑体"/>
                <w:bCs/>
                <w:sz w:val="28"/>
                <w:szCs w:val="28"/>
              </w:rPr>
            </w:pPr>
            <w:r>
              <w:rPr>
                <w:rFonts w:hint="eastAsia" w:ascii="黑体" w:hAnsi="黑体" w:eastAsia="黑体"/>
                <w:bCs/>
                <w:sz w:val="28"/>
                <w:szCs w:val="28"/>
              </w:rPr>
              <w:t>设备总值</w:t>
            </w:r>
          </w:p>
        </w:tc>
        <w:tc>
          <w:tcPr>
            <w:tcW w:w="773" w:type="pct"/>
            <w:gridSpan w:val="2"/>
            <w:vAlign w:val="center"/>
          </w:tcPr>
          <w:p>
            <w:pPr>
              <w:jc w:val="center"/>
              <w:rPr>
                <w:rFonts w:ascii="黑体" w:hAnsi="黑体" w:eastAsia="黑体"/>
                <w:bCs/>
                <w:sz w:val="28"/>
                <w:szCs w:val="28"/>
              </w:rPr>
            </w:pPr>
            <w:r>
              <w:rPr>
                <w:rFonts w:hint="eastAsia" w:ascii="楷体" w:hAnsi="楷体" w:eastAsia="楷体" w:cs="楷体"/>
                <w:sz w:val="28"/>
                <w:szCs w:val="28"/>
              </w:rPr>
              <w:t>3816.92万元</w:t>
            </w:r>
          </w:p>
        </w:tc>
        <w:tc>
          <w:tcPr>
            <w:tcW w:w="900" w:type="pct"/>
            <w:gridSpan w:val="2"/>
            <w:vAlign w:val="center"/>
          </w:tcPr>
          <w:p>
            <w:pPr>
              <w:jc w:val="center"/>
              <w:rPr>
                <w:rFonts w:ascii="黑体" w:hAnsi="黑体" w:eastAsia="黑体"/>
                <w:bCs/>
                <w:sz w:val="28"/>
                <w:szCs w:val="28"/>
              </w:rPr>
            </w:pPr>
            <w:r>
              <w:rPr>
                <w:rFonts w:hint="eastAsia" w:ascii="黑体" w:hAnsi="黑体" w:eastAsia="黑体"/>
                <w:bCs/>
                <w:sz w:val="28"/>
                <w:szCs w:val="28"/>
              </w:rPr>
              <w:t>设备台数</w:t>
            </w:r>
          </w:p>
        </w:tc>
        <w:tc>
          <w:tcPr>
            <w:tcW w:w="1101" w:type="pct"/>
            <w:gridSpan w:val="3"/>
            <w:vAlign w:val="center"/>
          </w:tcPr>
          <w:p>
            <w:pPr>
              <w:jc w:val="center"/>
              <w:rPr>
                <w:rFonts w:ascii="黑体" w:hAnsi="黑体" w:eastAsia="黑体"/>
                <w:bCs/>
                <w:sz w:val="28"/>
                <w:szCs w:val="28"/>
              </w:rPr>
            </w:pPr>
            <w:r>
              <w:rPr>
                <w:rFonts w:ascii="楷体" w:hAnsi="楷体" w:eastAsia="楷体" w:cs="楷体"/>
                <w:sz w:val="28"/>
                <w:szCs w:val="28"/>
              </w:rPr>
              <w:t>7893</w:t>
            </w:r>
            <w:r>
              <w:rPr>
                <w:rFonts w:hint="eastAsia" w:ascii="楷体" w:hAnsi="楷体" w:eastAsia="楷体" w:cs="楷体"/>
                <w:sz w:val="28"/>
                <w:szCs w:val="28"/>
              </w:rPr>
              <w:t>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9" w:hRule="atLeast"/>
        </w:trPr>
        <w:tc>
          <w:tcPr>
            <w:tcW w:w="1663" w:type="pct"/>
            <w:gridSpan w:val="2"/>
            <w:vAlign w:val="center"/>
          </w:tcPr>
          <w:p>
            <w:pPr>
              <w:jc w:val="center"/>
              <w:rPr>
                <w:rFonts w:ascii="黑体" w:hAnsi="黑体" w:eastAsia="黑体"/>
                <w:bCs/>
                <w:sz w:val="28"/>
                <w:szCs w:val="28"/>
              </w:rPr>
            </w:pPr>
            <w:r>
              <w:rPr>
                <w:rFonts w:hint="eastAsia" w:ascii="黑体" w:hAnsi="黑体" w:eastAsia="黑体"/>
                <w:bCs/>
                <w:sz w:val="28"/>
                <w:szCs w:val="28"/>
              </w:rPr>
              <w:t>经费投入情况</w:t>
            </w:r>
          </w:p>
        </w:tc>
        <w:tc>
          <w:tcPr>
            <w:tcW w:w="3337" w:type="pct"/>
            <w:gridSpan w:val="8"/>
            <w:vAlign w:val="center"/>
          </w:tcPr>
          <w:p>
            <w:pPr>
              <w:jc w:val="center"/>
              <w:rPr>
                <w:rFonts w:ascii="黑体" w:hAnsi="黑体" w:eastAsia="黑体"/>
                <w:bCs/>
                <w:sz w:val="28"/>
                <w:szCs w:val="28"/>
              </w:rPr>
            </w:pPr>
            <w:r>
              <w:rPr>
                <w:rFonts w:ascii="黑体" w:hAnsi="黑体" w:eastAsia="黑体"/>
                <w:bCs/>
                <w:sz w:val="28"/>
                <w:szCs w:val="28"/>
              </w:rPr>
              <w:t>1223.6</w:t>
            </w:r>
            <w:r>
              <w:rPr>
                <w:rFonts w:hint="eastAsia" w:ascii="黑体" w:hAnsi="黑体" w:eastAsia="黑体"/>
                <w:bCs/>
                <w:sz w:val="28"/>
                <w:szCs w:val="28"/>
              </w:rPr>
              <w:t>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3" w:type="pct"/>
            <w:gridSpan w:val="2"/>
            <w:tcBorders>
              <w:right w:val="single" w:color="auto" w:sz="4" w:space="0"/>
            </w:tcBorders>
            <w:vAlign w:val="center"/>
          </w:tcPr>
          <w:p>
            <w:pPr>
              <w:jc w:val="center"/>
              <w:rPr>
                <w:rFonts w:ascii="黑体" w:hAnsi="黑体" w:eastAsia="黑体"/>
                <w:bCs/>
                <w:sz w:val="28"/>
                <w:szCs w:val="28"/>
              </w:rPr>
            </w:pPr>
            <w:r>
              <w:rPr>
                <w:rFonts w:hint="eastAsia" w:ascii="黑体" w:hAnsi="黑体" w:eastAsia="黑体"/>
                <w:bCs/>
                <w:sz w:val="28"/>
                <w:szCs w:val="28"/>
              </w:rPr>
              <w:t>主管部门年度经费</w:t>
            </w:r>
          </w:p>
          <w:p>
            <w:pPr>
              <w:jc w:val="center"/>
              <w:rPr>
                <w:rFonts w:ascii="黑体" w:hAnsi="黑体" w:eastAsia="黑体"/>
                <w:bCs/>
                <w:sz w:val="28"/>
                <w:szCs w:val="28"/>
              </w:rPr>
            </w:pPr>
            <w:r>
              <w:rPr>
                <w:rFonts w:hint="eastAsia" w:ascii="黑体" w:hAnsi="黑体" w:eastAsia="黑体"/>
                <w:bCs/>
                <w:sz w:val="28"/>
                <w:szCs w:val="28"/>
              </w:rPr>
              <w:t>投入</w:t>
            </w:r>
          </w:p>
          <w:p>
            <w:pPr>
              <w:jc w:val="center"/>
              <w:rPr>
                <w:rFonts w:ascii="楷体" w:hAnsi="楷体" w:eastAsia="楷体"/>
                <w:bCs/>
                <w:sz w:val="28"/>
                <w:szCs w:val="28"/>
              </w:rPr>
            </w:pPr>
            <w:r>
              <w:rPr>
                <w:rFonts w:hint="eastAsia" w:ascii="楷体" w:hAnsi="楷体" w:eastAsia="楷体"/>
                <w:bCs/>
                <w:sz w:val="28"/>
                <w:szCs w:val="28"/>
              </w:rPr>
              <w:t>（直属高校不填）</w:t>
            </w:r>
          </w:p>
        </w:tc>
        <w:tc>
          <w:tcPr>
            <w:tcW w:w="814" w:type="pct"/>
            <w:gridSpan w:val="2"/>
            <w:tcBorders>
              <w:left w:val="single" w:color="auto" w:sz="4" w:space="0"/>
            </w:tcBorders>
            <w:vAlign w:val="center"/>
          </w:tcPr>
          <w:p>
            <w:pPr>
              <w:jc w:val="center"/>
              <w:rPr>
                <w:rFonts w:ascii="楷体" w:hAnsi="楷体" w:eastAsia="楷体"/>
                <w:bCs/>
                <w:sz w:val="28"/>
                <w:szCs w:val="28"/>
              </w:rPr>
            </w:pPr>
            <w:r>
              <w:rPr>
                <w:rFonts w:ascii="楷体" w:hAnsi="楷体" w:eastAsia="楷体"/>
                <w:bCs/>
                <w:sz w:val="28"/>
                <w:szCs w:val="28"/>
              </w:rPr>
              <w:t>227</w:t>
            </w:r>
            <w:r>
              <w:rPr>
                <w:rFonts w:hint="eastAsia" w:ascii="楷体" w:hAnsi="楷体" w:eastAsia="楷体"/>
                <w:bCs/>
                <w:sz w:val="28"/>
                <w:szCs w:val="28"/>
              </w:rPr>
              <w:t>.</w:t>
            </w:r>
            <w:r>
              <w:rPr>
                <w:rFonts w:ascii="楷体" w:hAnsi="楷体" w:eastAsia="楷体"/>
                <w:bCs/>
                <w:sz w:val="28"/>
                <w:szCs w:val="28"/>
              </w:rPr>
              <w:t>6</w:t>
            </w:r>
          </w:p>
          <w:p>
            <w:pPr>
              <w:jc w:val="center"/>
              <w:rPr>
                <w:rFonts w:ascii="楷体" w:hAnsi="楷体" w:eastAsia="楷体"/>
                <w:bCs/>
                <w:sz w:val="28"/>
                <w:szCs w:val="28"/>
              </w:rPr>
            </w:pPr>
            <w:r>
              <w:rPr>
                <w:rFonts w:hint="eastAsia" w:ascii="楷体" w:hAnsi="楷体" w:eastAsia="楷体"/>
                <w:bCs/>
                <w:sz w:val="28"/>
                <w:szCs w:val="28"/>
              </w:rPr>
              <w:t>万元</w:t>
            </w:r>
          </w:p>
        </w:tc>
        <w:tc>
          <w:tcPr>
            <w:tcW w:w="1468" w:type="pct"/>
            <w:gridSpan w:val="4"/>
            <w:vAlign w:val="center"/>
          </w:tcPr>
          <w:p>
            <w:pPr>
              <w:jc w:val="center"/>
              <w:rPr>
                <w:rFonts w:ascii="黑体" w:hAnsi="黑体" w:eastAsia="黑体"/>
                <w:bCs/>
                <w:sz w:val="28"/>
                <w:szCs w:val="28"/>
              </w:rPr>
            </w:pPr>
            <w:r>
              <w:rPr>
                <w:rFonts w:hint="eastAsia" w:ascii="黑体" w:hAnsi="黑体" w:eastAsia="黑体"/>
                <w:bCs/>
                <w:sz w:val="28"/>
                <w:szCs w:val="28"/>
              </w:rPr>
              <w:t>所在学校年度经费投入</w:t>
            </w:r>
          </w:p>
        </w:tc>
        <w:tc>
          <w:tcPr>
            <w:tcW w:w="1055" w:type="pct"/>
            <w:gridSpan w:val="2"/>
            <w:vAlign w:val="center"/>
          </w:tcPr>
          <w:p>
            <w:pPr>
              <w:ind w:firstLine="271" w:firstLineChars="97"/>
              <w:jc w:val="center"/>
              <w:rPr>
                <w:rFonts w:ascii="楷体" w:hAnsi="楷体" w:eastAsia="楷体"/>
                <w:bCs/>
                <w:sz w:val="28"/>
                <w:szCs w:val="28"/>
              </w:rPr>
            </w:pPr>
            <w:r>
              <w:rPr>
                <w:rFonts w:ascii="楷体" w:hAnsi="楷体" w:eastAsia="楷体"/>
                <w:bCs/>
                <w:sz w:val="28"/>
                <w:szCs w:val="28"/>
              </w:rPr>
              <w:t>996</w:t>
            </w:r>
            <w:r>
              <w:rPr>
                <w:rFonts w:hint="eastAsia" w:ascii="楷体" w:hAnsi="楷体" w:eastAsia="楷体"/>
                <w:bCs/>
                <w:sz w:val="28"/>
                <w:szCs w:val="28"/>
              </w:rPr>
              <w:t>万元</w:t>
            </w:r>
          </w:p>
        </w:tc>
      </w:tr>
    </w:tbl>
    <w:p>
      <w:pPr>
        <w:ind w:firstLine="480" w:firstLineChars="200"/>
        <w:rPr>
          <w:rFonts w:ascii="楷体" w:hAnsi="楷体" w:eastAsia="楷体"/>
          <w:bCs/>
        </w:rPr>
      </w:pPr>
      <w:r>
        <w:rPr>
          <w:rFonts w:hint="eastAsia" w:ascii="楷体" w:hAnsi="楷体" w:eastAsia="楷体"/>
          <w:bCs/>
        </w:rPr>
        <w:t>注：（1）表中所有名称都必须填写全称。（2）主管部门：所在学校的上级主管部门，可查询教育部发展规划司全国高等学校名单。</w:t>
      </w:r>
    </w:p>
    <w:p>
      <w:pPr>
        <w:numPr>
          <w:ilvl w:val="0"/>
          <w:numId w:val="1"/>
        </w:numPr>
        <w:spacing w:before="163" w:beforeLines="50"/>
        <w:ind w:firstLine="630" w:firstLineChars="196"/>
        <w:rPr>
          <w:rFonts w:ascii="黑体" w:hAnsi="黑体" w:eastAsia="黑体" w:cs="仿宋_GB2312"/>
          <w:b/>
          <w:bCs/>
          <w:sz w:val="32"/>
          <w:szCs w:val="32"/>
        </w:rPr>
      </w:pPr>
      <w:r>
        <w:rPr>
          <w:rFonts w:hint="eastAsia" w:ascii="黑体" w:hAnsi="黑体" w:eastAsia="黑体" w:cs="仿宋_GB2312"/>
          <w:b/>
          <w:bCs/>
          <w:sz w:val="32"/>
          <w:szCs w:val="32"/>
        </w:rPr>
        <w:t>人才队伍基本情况</w:t>
      </w:r>
    </w:p>
    <w:p>
      <w:pPr>
        <w:spacing w:before="163" w:beforeLines="50"/>
        <w:rPr>
          <w:rFonts w:ascii="黑体" w:hAnsi="黑体" w:eastAsia="黑体" w:cs="仿宋_GB2312"/>
          <w:bCs/>
          <w:sz w:val="28"/>
          <w:szCs w:val="28"/>
        </w:rPr>
      </w:pPr>
      <w:r>
        <w:rPr>
          <w:rFonts w:hint="eastAsia" w:ascii="黑体" w:hAnsi="黑体" w:eastAsia="黑体"/>
          <w:bCs/>
          <w:sz w:val="28"/>
          <w:szCs w:val="28"/>
        </w:rPr>
        <w:t>（一）本年度</w:t>
      </w:r>
      <w:r>
        <w:rPr>
          <w:rFonts w:hint="eastAsia" w:ascii="黑体" w:hAnsi="黑体" w:eastAsia="黑体" w:cs="仿宋_GB2312"/>
          <w:bCs/>
          <w:sz w:val="28"/>
          <w:szCs w:val="28"/>
        </w:rPr>
        <w:t>固定人员情况</w:t>
      </w:r>
    </w:p>
    <w:tbl>
      <w:tblPr>
        <w:tblStyle w:val="11"/>
        <w:tblW w:w="82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0"/>
        <w:gridCol w:w="992"/>
        <w:gridCol w:w="567"/>
        <w:gridCol w:w="1275"/>
        <w:gridCol w:w="1275"/>
        <w:gridCol w:w="851"/>
        <w:gridCol w:w="1134"/>
        <w:gridCol w:w="70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tblHeader/>
        </w:trPr>
        <w:tc>
          <w:tcPr>
            <w:tcW w:w="580"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序号</w:t>
            </w:r>
          </w:p>
        </w:tc>
        <w:tc>
          <w:tcPr>
            <w:tcW w:w="992"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姓名</w:t>
            </w:r>
          </w:p>
        </w:tc>
        <w:tc>
          <w:tcPr>
            <w:tcW w:w="567"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性别</w:t>
            </w:r>
          </w:p>
        </w:tc>
        <w:tc>
          <w:tcPr>
            <w:tcW w:w="1275"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出生年份</w:t>
            </w:r>
          </w:p>
        </w:tc>
        <w:tc>
          <w:tcPr>
            <w:tcW w:w="1275"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职称</w:t>
            </w:r>
          </w:p>
        </w:tc>
        <w:tc>
          <w:tcPr>
            <w:tcW w:w="851"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职务</w:t>
            </w:r>
          </w:p>
        </w:tc>
        <w:tc>
          <w:tcPr>
            <w:tcW w:w="1134"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工作性质</w:t>
            </w:r>
          </w:p>
        </w:tc>
        <w:tc>
          <w:tcPr>
            <w:tcW w:w="708"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学位</w:t>
            </w:r>
          </w:p>
        </w:tc>
        <w:tc>
          <w:tcPr>
            <w:tcW w:w="851" w:type="dxa"/>
            <w:tcMar>
              <w:top w:w="15" w:type="dxa"/>
              <w:left w:w="15" w:type="dxa"/>
              <w:right w:w="15" w:type="dxa"/>
            </w:tcMar>
            <w:vAlign w:val="center"/>
          </w:tcPr>
          <w:p>
            <w:pPr>
              <w:jc w:val="center"/>
              <w:rPr>
                <w:rFonts w:ascii="黑体" w:hAnsi="黑体" w:eastAsia="黑体" w:cs="黑体"/>
                <w:bCs/>
              </w:rPr>
            </w:pPr>
            <w:r>
              <w:rPr>
                <w:rFonts w:hint="eastAsia" w:ascii="黑体" w:hAnsi="黑体" w:eastAsia="黑体" w:cs="黑体"/>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付宏</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1979</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主任</w:t>
            </w: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任晓阳</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1960</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主任</w:t>
            </w: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陈新武</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1969</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常务副主任</w:t>
            </w: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邓毅</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1968</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5</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许传华</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1967</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6</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李敏</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1968</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7</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王远坤</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1965</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8</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曹小武</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1969</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9</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刘文平</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1977</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10</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李毅</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1975</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11</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陈昀</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1975</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12</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孙永平</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1977</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13</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龚振中</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1973</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14</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李刚</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1974</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15</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方聂平</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1978</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副主任</w:t>
            </w: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16</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罗田</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1981</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17</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王文剑</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1975</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学士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18</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李浩</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1979</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喻頔</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1982</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20</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刘君</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1974</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21</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黄晓武</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1974</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22</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徐亚文</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1972</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副主任</w:t>
            </w: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23</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毛志斌</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1978</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副主任</w:t>
            </w: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24</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靳洪</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1980</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正高级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25</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安光倩</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1987</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26</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陈忠伟</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1974</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27</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李春艳</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1980</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28</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王琼</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1968</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29</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崔文琦</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1991</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30</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马苗苗</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1995</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31</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姚和平</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1972</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32</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易法万</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1965</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33</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陆榕</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1981</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34</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胡倩</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1990</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35</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邴綨纶</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1982</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36</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杨凤霞</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1969</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37</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李杏</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1989</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38</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刘博宇</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1983</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中级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39</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鲜军</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1973</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副高级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40</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李伟松</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1988</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教学</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博士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41</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吴忠祥</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1987</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学士</w:t>
            </w:r>
          </w:p>
        </w:tc>
        <w:tc>
          <w:tcPr>
            <w:tcW w:w="851"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42</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汪丽娟</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1983</w:t>
            </w:r>
          </w:p>
        </w:tc>
        <w:tc>
          <w:tcPr>
            <w:tcW w:w="1275"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学士</w:t>
            </w:r>
          </w:p>
        </w:tc>
        <w:tc>
          <w:tcPr>
            <w:tcW w:w="851"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43</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沈  犇</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1993</w:t>
            </w:r>
          </w:p>
        </w:tc>
        <w:tc>
          <w:tcPr>
            <w:tcW w:w="1275"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学士</w:t>
            </w:r>
          </w:p>
        </w:tc>
        <w:tc>
          <w:tcPr>
            <w:tcW w:w="851"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44</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夏方勋</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1983</w:t>
            </w:r>
          </w:p>
        </w:tc>
        <w:tc>
          <w:tcPr>
            <w:tcW w:w="1275"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45</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周  宁</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1984</w:t>
            </w:r>
          </w:p>
        </w:tc>
        <w:tc>
          <w:tcPr>
            <w:tcW w:w="1275"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学士</w:t>
            </w:r>
          </w:p>
        </w:tc>
        <w:tc>
          <w:tcPr>
            <w:tcW w:w="851"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46</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谢北辰</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男</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1995</w:t>
            </w:r>
          </w:p>
        </w:tc>
        <w:tc>
          <w:tcPr>
            <w:tcW w:w="1275"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学士</w:t>
            </w:r>
          </w:p>
        </w:tc>
        <w:tc>
          <w:tcPr>
            <w:tcW w:w="851" w:type="dxa"/>
            <w:tcMar>
              <w:top w:w="15" w:type="dxa"/>
              <w:left w:w="15" w:type="dxa"/>
              <w:right w:w="15" w:type="dxa"/>
            </w:tcMar>
            <w:vAlign w:val="center"/>
          </w:tcPr>
          <w:p>
            <w:pPr>
              <w:jc w:val="center"/>
              <w:rPr>
                <w:rFonts w:ascii="楷体" w:hAnsi="楷体" w:eastAsia="楷体" w:cs="楷体"/>
              </w:rPr>
            </w:pPr>
            <w:r>
              <w:rPr>
                <w:rFonts w:hint="eastAsia" w:ascii="楷体" w:hAnsi="楷体" w:eastAsia="楷体" w:cs="楷体"/>
                <w:kern w:val="0"/>
              </w:rPr>
              <w:t>专职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80"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47</w:t>
            </w:r>
          </w:p>
        </w:tc>
        <w:tc>
          <w:tcPr>
            <w:tcW w:w="992"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张峥</w:t>
            </w:r>
          </w:p>
        </w:tc>
        <w:tc>
          <w:tcPr>
            <w:tcW w:w="567"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女</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1982</w:t>
            </w:r>
          </w:p>
        </w:tc>
        <w:tc>
          <w:tcPr>
            <w:tcW w:w="1275"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初级</w:t>
            </w:r>
          </w:p>
        </w:tc>
        <w:tc>
          <w:tcPr>
            <w:tcW w:w="851" w:type="dxa"/>
            <w:tcMar>
              <w:top w:w="15" w:type="dxa"/>
              <w:left w:w="15" w:type="dxa"/>
              <w:right w:w="15" w:type="dxa"/>
            </w:tcMar>
            <w:vAlign w:val="center"/>
          </w:tcPr>
          <w:p>
            <w:pPr>
              <w:jc w:val="center"/>
              <w:textAlignment w:val="center"/>
              <w:rPr>
                <w:rFonts w:ascii="楷体" w:hAnsi="楷体" w:eastAsia="楷体" w:cs="楷体"/>
                <w:kern w:val="0"/>
              </w:rPr>
            </w:pPr>
          </w:p>
        </w:tc>
        <w:tc>
          <w:tcPr>
            <w:tcW w:w="1134"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管理</w:t>
            </w:r>
          </w:p>
        </w:tc>
        <w:tc>
          <w:tcPr>
            <w:tcW w:w="708"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硕士</w:t>
            </w:r>
          </w:p>
        </w:tc>
        <w:tc>
          <w:tcPr>
            <w:tcW w:w="851" w:type="dxa"/>
            <w:tcMar>
              <w:top w:w="15" w:type="dxa"/>
              <w:left w:w="15" w:type="dxa"/>
              <w:right w:w="15" w:type="dxa"/>
            </w:tcMar>
            <w:vAlign w:val="center"/>
          </w:tcPr>
          <w:p>
            <w:pPr>
              <w:jc w:val="center"/>
              <w:textAlignment w:val="center"/>
              <w:rPr>
                <w:rFonts w:ascii="楷体" w:hAnsi="楷体" w:eastAsia="楷体" w:cs="楷体"/>
                <w:kern w:val="0"/>
              </w:rPr>
            </w:pPr>
            <w:r>
              <w:rPr>
                <w:rFonts w:hint="eastAsia" w:ascii="楷体" w:hAnsi="楷体" w:eastAsia="楷体" w:cs="楷体"/>
                <w:kern w:val="0"/>
              </w:rPr>
              <w:t>专职</w:t>
            </w:r>
          </w:p>
        </w:tc>
      </w:tr>
    </w:tbl>
    <w:p>
      <w:pPr>
        <w:spacing w:before="163" w:beforeLines="50"/>
        <w:ind w:firstLine="480" w:firstLineChars="200"/>
        <w:rPr>
          <w:rFonts w:ascii="楷体" w:hAnsi="楷体" w:eastAsia="楷体"/>
        </w:rPr>
      </w:pPr>
      <w:r>
        <w:rPr>
          <w:rFonts w:hint="eastAsia" w:ascii="楷体" w:hAnsi="楷体" w:eastAsia="楷体" w:cs="仿宋_GB2312"/>
          <w:bCs/>
        </w:rPr>
        <w:t>注：（1）</w:t>
      </w:r>
      <w:r>
        <w:rPr>
          <w:rFonts w:hint="eastAsia" w:ascii="楷体" w:hAnsi="楷体" w:eastAsia="楷体" w:cs="仿宋_GB2312"/>
        </w:rPr>
        <w:t>固定人员：指高等学校聘用的聘期2年以上的全职人员，包括教学、技术和管理人员。（2）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教学、技术、管理、其他。具有多种性质的，选填其中主要工作性质即可。（4）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spacing w:before="163" w:beforeLines="50" w:after="163" w:afterLines="50"/>
        <w:ind w:firstLine="560" w:firstLineChars="200"/>
        <w:rPr>
          <w:rFonts w:ascii="黑体" w:hAnsi="黑体" w:eastAsia="黑体"/>
          <w:sz w:val="28"/>
          <w:szCs w:val="28"/>
        </w:rPr>
      </w:pPr>
      <w:r>
        <w:rPr>
          <w:rFonts w:hint="eastAsia" w:ascii="黑体" w:hAnsi="黑体" w:eastAsia="黑体"/>
          <w:bCs/>
          <w:sz w:val="28"/>
          <w:szCs w:val="28"/>
        </w:rPr>
        <w:t>（二）</w:t>
      </w:r>
      <w:r>
        <w:rPr>
          <w:rFonts w:hint="eastAsia" w:ascii="黑体" w:hAnsi="黑体" w:eastAsia="黑体"/>
          <w:sz w:val="28"/>
          <w:szCs w:val="28"/>
        </w:rPr>
        <w:t>本年度流动人员情况</w:t>
      </w:r>
    </w:p>
    <w:tbl>
      <w:tblPr>
        <w:tblStyle w:val="11"/>
        <w:tblW w:w="936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986"/>
        <w:gridCol w:w="822"/>
        <w:gridCol w:w="884"/>
        <w:gridCol w:w="1048"/>
        <w:gridCol w:w="904"/>
        <w:gridCol w:w="1787"/>
        <w:gridCol w:w="699"/>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blHeader/>
        </w:trPr>
        <w:tc>
          <w:tcPr>
            <w:tcW w:w="616"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序号</w:t>
            </w:r>
          </w:p>
        </w:tc>
        <w:tc>
          <w:tcPr>
            <w:tcW w:w="986"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姓名</w:t>
            </w:r>
          </w:p>
        </w:tc>
        <w:tc>
          <w:tcPr>
            <w:tcW w:w="822"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性别</w:t>
            </w:r>
          </w:p>
        </w:tc>
        <w:tc>
          <w:tcPr>
            <w:tcW w:w="884"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出生</w:t>
            </w:r>
          </w:p>
          <w:p>
            <w:pPr>
              <w:widowControl/>
              <w:jc w:val="center"/>
              <w:rPr>
                <w:rFonts w:ascii="黑体" w:hAnsi="黑体" w:eastAsia="黑体" w:cs="黑体"/>
                <w:color w:val="000000"/>
                <w:kern w:val="0"/>
              </w:rPr>
            </w:pPr>
            <w:r>
              <w:rPr>
                <w:rFonts w:hint="eastAsia" w:ascii="黑体" w:hAnsi="黑体" w:eastAsia="黑体" w:cs="黑体"/>
                <w:color w:val="000000"/>
                <w:kern w:val="0"/>
              </w:rPr>
              <w:t>年份</w:t>
            </w:r>
          </w:p>
        </w:tc>
        <w:tc>
          <w:tcPr>
            <w:tcW w:w="1048"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职称</w:t>
            </w:r>
          </w:p>
        </w:tc>
        <w:tc>
          <w:tcPr>
            <w:tcW w:w="904"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国别</w:t>
            </w:r>
          </w:p>
        </w:tc>
        <w:tc>
          <w:tcPr>
            <w:tcW w:w="1787"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工作</w:t>
            </w:r>
          </w:p>
          <w:p>
            <w:pPr>
              <w:widowControl/>
              <w:jc w:val="center"/>
              <w:rPr>
                <w:rFonts w:ascii="黑体" w:hAnsi="黑体" w:eastAsia="黑体" w:cs="黑体"/>
                <w:color w:val="000000"/>
                <w:kern w:val="0"/>
              </w:rPr>
            </w:pPr>
            <w:r>
              <w:rPr>
                <w:rFonts w:hint="eastAsia" w:ascii="黑体" w:hAnsi="黑体" w:eastAsia="黑体" w:cs="黑体"/>
                <w:color w:val="000000"/>
                <w:kern w:val="0"/>
              </w:rPr>
              <w:t>单位</w:t>
            </w:r>
          </w:p>
        </w:tc>
        <w:tc>
          <w:tcPr>
            <w:tcW w:w="699"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类型</w:t>
            </w:r>
          </w:p>
        </w:tc>
        <w:tc>
          <w:tcPr>
            <w:tcW w:w="1614" w:type="dxa"/>
            <w:shd w:val="clear" w:color="auto" w:fill="auto"/>
            <w:vAlign w:val="center"/>
          </w:tcPr>
          <w:p>
            <w:pPr>
              <w:widowControl/>
              <w:jc w:val="center"/>
              <w:rPr>
                <w:rFonts w:ascii="黑体" w:hAnsi="黑体" w:eastAsia="黑体" w:cs="黑体"/>
                <w:color w:val="000000"/>
                <w:kern w:val="0"/>
              </w:rPr>
            </w:pPr>
            <w:r>
              <w:rPr>
                <w:rFonts w:hint="eastAsia" w:ascii="黑体" w:hAnsi="黑体" w:eastAsia="黑体" w:cs="黑体"/>
                <w:color w:val="000000"/>
                <w:kern w:val="0"/>
              </w:rPr>
              <w:t>工作</w:t>
            </w:r>
          </w:p>
          <w:p>
            <w:pPr>
              <w:widowControl/>
              <w:jc w:val="center"/>
              <w:rPr>
                <w:rFonts w:ascii="黑体" w:hAnsi="黑体" w:eastAsia="黑体" w:cs="黑体"/>
                <w:color w:val="000000"/>
                <w:kern w:val="0"/>
              </w:rPr>
            </w:pPr>
            <w:r>
              <w:rPr>
                <w:rFonts w:hint="eastAsia" w:ascii="黑体" w:hAnsi="黑体" w:eastAsia="黑体" w:cs="黑体"/>
                <w:color w:val="000000"/>
                <w:kern w:val="0"/>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温兴生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陶前功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高洁</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严飞</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李长爱</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蔡红英</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张青</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谈多娇</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颜莉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袁文艺</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孙宝林</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张燕文</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袁声莉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林江鹏</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夏喆</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嵇雷</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胡静</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胡伟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徐慧玲</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胡凯</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倪燕翎</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吕丽娜</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杨晓天</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张世晓</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李瑜</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胡顺义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陈金波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刘晓凤</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周蓉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杨珂玲</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苏帆</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黄璨</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毕娅</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陈义国</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初叶萍</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戴德艺</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戴化勇</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戴静</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39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邓祖涛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董育军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范启国</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方臻旻</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胡慧娟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黄益雄</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黄振东</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冷凯君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李博</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李方静</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49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李湘梅</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廖靓</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林晶</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刘慧</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刘勋涛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吕伶俐</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彭瑞卿</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钱玲</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杨雅南</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阮家福</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59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石黎</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邱秋</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孙一平</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童藤</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王丹</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王国红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王珂英</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魏涛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吴钰萍</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向明</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69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邢宏洋</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熊劼</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杨申燕</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叶翠红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叶敏</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叶楠</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易烨</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余军华</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曾义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79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张丽娜</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张曙红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张耀峰</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张志刚</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赵丽平</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赵玮</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周程</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周文</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余小高</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汪利虹</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89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杨蕊</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曹流</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陈媛媛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陈战波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程志辉</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崔凯</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邓沌华</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邓今朝</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杜芸</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范锐敏</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99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高刃</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高燕</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管珊</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郭砚君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郭增花</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郝二虎</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胡胜红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戢芳</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黄小舟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黄志璿</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109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江涛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金璐</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雷俊丽</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黎桦</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李红艳</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李井林</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李明磊</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李倩</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李霜</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李燕燕</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119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林颖</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刘慧</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刘习平</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刘迅</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刘亚飞</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卢米雪</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吕梦醒</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彭瑞卿</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乔长涛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任军君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129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宋莺</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孙小军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谭正林</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陶东杰</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陶珍生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滕泽伟</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田浩</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王成</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王东红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王宏飞</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139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王倩</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王腾</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王有天</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魏雷</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吴长青</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夏伦</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熊俊峰</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严妮</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杨春燕</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杨敏</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149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姚竞</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叶提芳</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袁妙彧</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曾霞</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曾宇容</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1976</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张冕</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张棋飞</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张全红</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张远为</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赵宏杰</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1973</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159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杨雪莱</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1969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正高级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黄锦鹏</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贺琛</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田倩南</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1989</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湖北经济学院</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　</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2018年1月1日至2022年12月31日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赵治国</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1970</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金蝶精一</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联席总经理</w:t>
            </w:r>
          </w:p>
        </w:tc>
        <w:tc>
          <w:tcPr>
            <w:tcW w:w="1614" w:type="dxa"/>
            <w:shd w:val="clear" w:color="auto" w:fill="auto"/>
            <w:vAlign w:val="center"/>
          </w:tcPr>
          <w:p>
            <w:pPr>
              <w:widowControl/>
              <w:spacing w:line="300" w:lineRule="exact"/>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164</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柯  淦</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1994</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金蝶精一</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客户成功部总监</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165</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  希</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1987</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金蝶中国武汉分公司</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中大伙伴发展部总监</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166</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邓文昊</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金蝶中国武汉分公司</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中大伙伴发展部高级客户经理</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167</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陈  介</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1981</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湖北数华</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总经理</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168</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张  博</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武汉江源</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总经理</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169</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李  俊</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1978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武汉智慧云极</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总经理</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170</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孟  兵</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1982</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顺丰丰巢科技</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CIO</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171</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齐勇慧</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1988</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金蝶精一</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高级讲师</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172</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潘南燕</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女</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1995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副高级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深圳金蝶天燕</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客户总监</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61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173</w:t>
            </w:r>
          </w:p>
        </w:tc>
        <w:tc>
          <w:tcPr>
            <w:tcW w:w="986"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杨  名</w:t>
            </w:r>
          </w:p>
        </w:tc>
        <w:tc>
          <w:tcPr>
            <w:tcW w:w="822"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男</w:t>
            </w:r>
          </w:p>
        </w:tc>
        <w:tc>
          <w:tcPr>
            <w:tcW w:w="88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1985</w:t>
            </w:r>
          </w:p>
        </w:tc>
        <w:tc>
          <w:tcPr>
            <w:tcW w:w="1048"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中级</w:t>
            </w:r>
          </w:p>
        </w:tc>
        <w:tc>
          <w:tcPr>
            <w:tcW w:w="90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中国</w:t>
            </w:r>
          </w:p>
        </w:tc>
        <w:tc>
          <w:tcPr>
            <w:tcW w:w="1787"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金蝶精一</w:t>
            </w:r>
          </w:p>
        </w:tc>
        <w:tc>
          <w:tcPr>
            <w:tcW w:w="699"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高级讲师</w:t>
            </w:r>
          </w:p>
        </w:tc>
        <w:tc>
          <w:tcPr>
            <w:tcW w:w="1614" w:type="dxa"/>
            <w:shd w:val="clear" w:color="auto" w:fill="auto"/>
            <w:vAlign w:val="center"/>
          </w:tcPr>
          <w:p>
            <w:pPr>
              <w:widowControl/>
              <w:jc w:val="center"/>
              <w:rPr>
                <w:rFonts w:ascii="楷体" w:hAnsi="楷体" w:eastAsia="楷体" w:cs="楷体"/>
                <w:color w:val="000000"/>
                <w:kern w:val="0"/>
              </w:rPr>
            </w:pPr>
            <w:r>
              <w:rPr>
                <w:rFonts w:hint="eastAsia" w:ascii="楷体" w:hAnsi="楷体" w:eastAsia="楷体" w:cs="楷体"/>
                <w:color w:val="000000"/>
                <w:kern w:val="0"/>
              </w:rPr>
              <w:t>2022年1月1日至2022年12月31日</w:t>
            </w:r>
          </w:p>
        </w:tc>
      </w:tr>
    </w:tbl>
    <w:p>
      <w:pPr>
        <w:spacing w:before="163" w:beforeLines="50"/>
        <w:ind w:firstLine="480" w:firstLineChars="200"/>
        <w:rPr>
          <w:rFonts w:ascii="楷体" w:hAnsi="楷体" w:eastAsia="楷体"/>
        </w:rPr>
      </w:pPr>
      <w:r>
        <w:rPr>
          <w:rFonts w:hint="eastAsia" w:ascii="楷体" w:hAnsi="楷体" w:eastAsia="楷体"/>
        </w:rPr>
        <w:t>注：（1）流动人员包括校内兼职人员、行业企业人员、海内外合作教学人员等。（2）工作期限：在示范中心工作的协议起止时间。</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sz w:val="28"/>
          <w:szCs w:val="28"/>
        </w:rPr>
        <w:t>（三）本年度</w:t>
      </w:r>
      <w:r>
        <w:rPr>
          <w:rFonts w:hint="eastAsia" w:ascii="黑体" w:hAnsi="黑体" w:eastAsia="黑体" w:cs="仿宋_GB2312"/>
          <w:bCs/>
          <w:sz w:val="28"/>
          <w:szCs w:val="28"/>
        </w:rPr>
        <w:t>教学指导委员会人员情况</w:t>
      </w:r>
    </w:p>
    <w:tbl>
      <w:tblPr>
        <w:tblStyle w:val="11"/>
        <w:tblW w:w="4870" w:type="pct"/>
        <w:tblInd w:w="105" w:type="dxa"/>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7"/>
        <w:gridCol w:w="1053"/>
        <w:gridCol w:w="718"/>
        <w:gridCol w:w="722"/>
        <w:gridCol w:w="985"/>
        <w:gridCol w:w="901"/>
        <w:gridCol w:w="757"/>
        <w:gridCol w:w="1024"/>
        <w:gridCol w:w="697"/>
        <w:gridCol w:w="841"/>
      </w:tblGrid>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blHeader/>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序号</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姓名</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性别</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出生年份</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职称</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职务</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国别</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工作</w:t>
            </w:r>
          </w:p>
          <w:p>
            <w:pPr>
              <w:jc w:val="center"/>
              <w:rPr>
                <w:rFonts w:ascii="黑体" w:hAnsi="黑体" w:eastAsia="黑体" w:cs="宋体"/>
              </w:rPr>
            </w:pPr>
            <w:r>
              <w:rPr>
                <w:rFonts w:hint="eastAsia" w:ascii="黑体" w:hAnsi="黑体" w:eastAsia="黑体" w:cs="宋体"/>
              </w:rPr>
              <w:t>单位</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黑体" w:hAnsi="黑体" w:eastAsia="黑体" w:cs="宋体"/>
              </w:rPr>
            </w:pPr>
            <w:r>
              <w:rPr>
                <w:rFonts w:hint="eastAsia" w:ascii="黑体" w:hAnsi="黑体" w:eastAsia="黑体" w:cs="宋体"/>
              </w:rPr>
              <w:t>类型</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黑体" w:hAnsi="黑体" w:eastAsia="黑体" w:cs="宋体"/>
              </w:rPr>
            </w:pPr>
            <w:r>
              <w:rPr>
                <w:rFonts w:hint="eastAsia" w:ascii="黑体" w:hAnsi="黑体" w:eastAsia="黑体" w:cs="宋体"/>
              </w:rPr>
              <w:t>参会次数</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张莉</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女</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1963年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主任委员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哈尔滨商业大学</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外校专家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12</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2</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尤赤矶</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男</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1954年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武汉</w:t>
            </w:r>
          </w:p>
          <w:p>
            <w:pPr>
              <w:jc w:val="center"/>
              <w:rPr>
                <w:rFonts w:ascii="楷体" w:hAnsi="楷体" w:eastAsia="楷体" w:cs="楷体"/>
              </w:rPr>
            </w:pPr>
            <w:r>
              <w:rPr>
                <w:rFonts w:hint="eastAsia" w:ascii="楷体" w:hAnsi="楷体" w:eastAsia="楷体" w:cs="楷体"/>
              </w:rPr>
              <w:t>大学</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外校专家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13</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3</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张洪</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女</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1964年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安徽</w:t>
            </w:r>
          </w:p>
          <w:p>
            <w:pPr>
              <w:jc w:val="center"/>
              <w:rPr>
                <w:rFonts w:ascii="楷体" w:hAnsi="楷体" w:eastAsia="楷体" w:cs="楷体"/>
              </w:rPr>
            </w:pPr>
            <w:r>
              <w:rPr>
                <w:rFonts w:hint="eastAsia" w:ascii="楷体" w:hAnsi="楷体" w:eastAsia="楷体" w:cs="楷体"/>
              </w:rPr>
              <w:t>大学</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外校专家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14</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4</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丛建阁</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男</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1964年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山东财经大学</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外校专家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15</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5</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饶光明</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男</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1965年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重庆工商大学</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外校专家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16</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6</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秦海英</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男</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1972年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南开</w:t>
            </w:r>
          </w:p>
          <w:p>
            <w:pPr>
              <w:jc w:val="center"/>
              <w:rPr>
                <w:rFonts w:ascii="楷体" w:hAnsi="楷体" w:eastAsia="楷体" w:cs="楷体"/>
              </w:rPr>
            </w:pPr>
            <w:r>
              <w:rPr>
                <w:rFonts w:hint="eastAsia" w:ascii="楷体" w:hAnsi="楷体" w:eastAsia="楷体" w:cs="楷体"/>
              </w:rPr>
              <w:t>大学</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外校专家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17</w:t>
            </w:r>
          </w:p>
        </w:tc>
      </w:tr>
      <w:tr>
        <w:tblPrEx>
          <w:tblBorders>
            <w:top w:val="single" w:color="auto" w:sz="12" w:space="0"/>
            <w:left w:val="single" w:color="auto" w:sz="12" w:space="0"/>
            <w:bottom w:val="none" w:color="auto" w:sz="0"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360"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7</w:t>
            </w:r>
          </w:p>
        </w:tc>
        <w:tc>
          <w:tcPr>
            <w:tcW w:w="6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陈新武</w:t>
            </w:r>
          </w:p>
        </w:tc>
        <w:tc>
          <w:tcPr>
            <w:tcW w:w="43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男</w:t>
            </w:r>
          </w:p>
        </w:tc>
        <w:tc>
          <w:tcPr>
            <w:tcW w:w="435"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1969年</w:t>
            </w:r>
          </w:p>
        </w:tc>
        <w:tc>
          <w:tcPr>
            <w:tcW w:w="594"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正高级</w:t>
            </w:r>
          </w:p>
        </w:tc>
        <w:tc>
          <w:tcPr>
            <w:tcW w:w="543"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委员</w:t>
            </w:r>
          </w:p>
        </w:tc>
        <w:tc>
          <w:tcPr>
            <w:tcW w:w="456"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中国</w:t>
            </w:r>
          </w:p>
        </w:tc>
        <w:tc>
          <w:tcPr>
            <w:tcW w:w="617" w:type="pct"/>
            <w:tcBorders>
              <w:top w:val="single" w:color="auto" w:sz="6" w:space="0"/>
              <w:left w:val="single" w:color="auto" w:sz="6"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湖北经济学院</w:t>
            </w:r>
          </w:p>
        </w:tc>
        <w:tc>
          <w:tcPr>
            <w:tcW w:w="420" w:type="pct"/>
            <w:tcBorders>
              <w:top w:val="single" w:color="auto" w:sz="6" w:space="0"/>
              <w:left w:val="single" w:color="auto" w:sz="4" w:space="0"/>
              <w:bottom w:val="single" w:color="auto" w:sz="6" w:space="0"/>
              <w:right w:val="single" w:color="auto" w:sz="4" w:space="0"/>
            </w:tcBorders>
            <w:vAlign w:val="center"/>
          </w:tcPr>
          <w:p>
            <w:pPr>
              <w:jc w:val="center"/>
              <w:rPr>
                <w:rFonts w:ascii="楷体" w:hAnsi="楷体" w:eastAsia="楷体" w:cs="楷体"/>
              </w:rPr>
            </w:pPr>
            <w:r>
              <w:rPr>
                <w:rFonts w:hint="eastAsia" w:ascii="楷体" w:hAnsi="楷体" w:eastAsia="楷体" w:cs="楷体"/>
              </w:rPr>
              <w:t>校内专家</w:t>
            </w:r>
          </w:p>
        </w:tc>
        <w:tc>
          <w:tcPr>
            <w:tcW w:w="507" w:type="pct"/>
            <w:tcBorders>
              <w:top w:val="single" w:color="auto" w:sz="6" w:space="0"/>
              <w:left w:val="single" w:color="auto" w:sz="4" w:space="0"/>
              <w:bottom w:val="single" w:color="auto" w:sz="6" w:space="0"/>
              <w:right w:val="single" w:color="auto" w:sz="6" w:space="0"/>
            </w:tcBorders>
            <w:vAlign w:val="center"/>
          </w:tcPr>
          <w:p>
            <w:pPr>
              <w:jc w:val="center"/>
              <w:rPr>
                <w:rFonts w:ascii="楷体" w:hAnsi="楷体" w:eastAsia="楷体" w:cs="楷体"/>
              </w:rPr>
            </w:pPr>
            <w:r>
              <w:rPr>
                <w:rFonts w:hint="eastAsia" w:ascii="楷体" w:hAnsi="楷体" w:eastAsia="楷体" w:cs="楷体"/>
              </w:rPr>
              <w:t>18</w:t>
            </w:r>
          </w:p>
        </w:tc>
      </w:tr>
    </w:tbl>
    <w:p>
      <w:pPr>
        <w:spacing w:before="163" w:beforeLines="50"/>
        <w:ind w:firstLine="480" w:firstLineChars="200"/>
        <w:rPr>
          <w:rFonts w:ascii="黑体" w:hAnsi="黑体" w:eastAsia="黑体"/>
          <w:b/>
          <w:bCs/>
          <w:sz w:val="32"/>
          <w:szCs w:val="32"/>
        </w:rPr>
      </w:pPr>
      <w:r>
        <w:rPr>
          <w:rFonts w:hint="eastAsia" w:ascii="楷体" w:hAnsi="楷体" w:eastAsia="楷体" w:cs="仿宋_GB2312"/>
          <w:bCs/>
        </w:rPr>
        <w:t>注：（1）教学指导委员会类型包括校内专家、外校专家、企业专家和外籍专家。（2）职务：包括主任委员和委员两类。（3）参会次数：年度内参加教学指导委员会会议的次数。</w:t>
      </w:r>
    </w:p>
    <w:p>
      <w:pPr>
        <w:ind w:firstLine="643" w:firstLineChars="200"/>
        <w:rPr>
          <w:rFonts w:ascii="黑体" w:hAnsi="黑体" w:eastAsia="黑体"/>
          <w:b/>
          <w:bCs/>
          <w:sz w:val="32"/>
          <w:szCs w:val="32"/>
        </w:rPr>
      </w:pPr>
      <w:r>
        <w:rPr>
          <w:rFonts w:hint="eastAsia" w:ascii="黑体" w:hAnsi="黑体" w:eastAsia="黑体"/>
          <w:b/>
          <w:bCs/>
          <w:sz w:val="32"/>
          <w:szCs w:val="32"/>
        </w:rPr>
        <w:t>三、人才培养情况</w:t>
      </w:r>
    </w:p>
    <w:p>
      <w:pPr>
        <w:spacing w:after="163" w:afterLines="50"/>
        <w:ind w:firstLine="560" w:firstLineChars="200"/>
        <w:rPr>
          <w:rFonts w:ascii="黑体" w:hAnsi="黑体" w:eastAsia="黑体"/>
          <w:bCs/>
          <w:sz w:val="28"/>
          <w:szCs w:val="28"/>
        </w:rPr>
      </w:pPr>
      <w:r>
        <w:rPr>
          <w:rFonts w:hint="eastAsia" w:ascii="黑体" w:hAnsi="黑体" w:eastAsia="黑体"/>
          <w:bCs/>
          <w:sz w:val="28"/>
          <w:szCs w:val="28"/>
        </w:rPr>
        <w:t>（一）示范中心实验教学面向所在学校专业及学生情况</w:t>
      </w:r>
    </w:p>
    <w:tbl>
      <w:tblPr>
        <w:tblStyle w:val="11"/>
        <w:tblW w:w="8157" w:type="dxa"/>
        <w:jc w:val="center"/>
        <w:tblLayout w:type="fixed"/>
        <w:tblCellMar>
          <w:top w:w="15" w:type="dxa"/>
          <w:left w:w="15" w:type="dxa"/>
          <w:bottom w:w="15" w:type="dxa"/>
          <w:right w:w="15" w:type="dxa"/>
        </w:tblCellMar>
      </w:tblPr>
      <w:tblGrid>
        <w:gridCol w:w="1078"/>
        <w:gridCol w:w="2108"/>
        <w:gridCol w:w="2130"/>
        <w:gridCol w:w="1227"/>
        <w:gridCol w:w="1614"/>
      </w:tblGrid>
      <w:tr>
        <w:tblPrEx>
          <w:tblCellMar>
            <w:top w:w="15" w:type="dxa"/>
            <w:left w:w="15" w:type="dxa"/>
            <w:bottom w:w="15" w:type="dxa"/>
            <w:right w:w="15" w:type="dxa"/>
          </w:tblCellMar>
        </w:tblPrEx>
        <w:trPr>
          <w:trHeight w:val="286" w:hRule="atLeast"/>
          <w:tblHeader/>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bCs/>
              </w:rPr>
            </w:pPr>
            <w:r>
              <w:rPr>
                <w:rFonts w:hint="eastAsia" w:ascii="黑体" w:hAnsi="黑体" w:eastAsia="黑体"/>
                <w:bCs/>
              </w:rPr>
              <w:t>序号</w:t>
            </w:r>
          </w:p>
        </w:tc>
        <w:tc>
          <w:tcPr>
            <w:tcW w:w="42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bCs/>
              </w:rPr>
            </w:pPr>
            <w:r>
              <w:rPr>
                <w:rFonts w:hint="eastAsia" w:ascii="黑体" w:hAnsi="黑体" w:eastAsia="黑体"/>
                <w:bCs/>
              </w:rPr>
              <w:t>面向专业</w:t>
            </w:r>
          </w:p>
        </w:tc>
        <w:tc>
          <w:tcPr>
            <w:tcW w:w="12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bCs/>
              </w:rPr>
            </w:pPr>
            <w:r>
              <w:rPr>
                <w:rFonts w:hint="eastAsia" w:ascii="黑体" w:hAnsi="黑体" w:eastAsia="黑体"/>
                <w:bCs/>
              </w:rPr>
              <w:t>学生人数</w:t>
            </w:r>
          </w:p>
        </w:tc>
        <w:tc>
          <w:tcPr>
            <w:tcW w:w="16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bCs/>
              </w:rPr>
            </w:pPr>
            <w:r>
              <w:rPr>
                <w:rFonts w:hint="eastAsia" w:ascii="黑体" w:hAnsi="黑体" w:eastAsia="黑体"/>
                <w:bCs/>
              </w:rPr>
              <w:t>人时数</w:t>
            </w:r>
          </w:p>
        </w:tc>
      </w:tr>
      <w:tr>
        <w:trPr>
          <w:trHeight w:val="286" w:hRule="atLeast"/>
          <w:tblHeader/>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bCs/>
              </w:rPr>
            </w:pPr>
            <w:r>
              <w:rPr>
                <w:rFonts w:hint="eastAsia" w:ascii="黑体" w:hAnsi="黑体" w:eastAsia="黑体"/>
                <w:bCs/>
              </w:rPr>
              <w:t>专业名称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bCs/>
              </w:rPr>
            </w:pPr>
            <w:r>
              <w:rPr>
                <w:rFonts w:hint="eastAsia" w:ascii="黑体" w:hAnsi="黑体" w:eastAsia="黑体"/>
                <w:bCs/>
              </w:rPr>
              <w:t>年级</w:t>
            </w:r>
          </w:p>
        </w:tc>
        <w:tc>
          <w:tcPr>
            <w:tcW w:w="12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c>
          <w:tcPr>
            <w:tcW w:w="1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0"/>
                <w:szCs w:val="20"/>
              </w:rPr>
            </w:pP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保险学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8112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3392</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财务管理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28600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3638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2538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5256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财政学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14214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6660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1728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1692</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财政学类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6672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6796</w:t>
            </w:r>
          </w:p>
        </w:tc>
      </w:tr>
      <w:tr>
        <w:tblPrEx>
          <w:tblCellMar>
            <w:top w:w="15" w:type="dxa"/>
            <w:left w:w="15" w:type="dxa"/>
            <w:bottom w:w="15" w:type="dxa"/>
            <w:right w:w="15" w:type="dxa"/>
          </w:tblCellMar>
        </w:tblPrEx>
        <w:trPr>
          <w:trHeight w:val="286"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产品设计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3297</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大数据管理与应用</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1020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2244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电子商务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14768</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10982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8702</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7122</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电子信息工程</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6372</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6732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7704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7236</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动画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7974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4433</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1098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2640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法学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171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39078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6642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292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13008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7412</w:t>
            </w:r>
          </w:p>
        </w:tc>
      </w:tr>
      <w:tr>
        <w:tblPrEx>
          <w:tblCellMar>
            <w:top w:w="15" w:type="dxa"/>
            <w:left w:w="15" w:type="dxa"/>
            <w:bottom w:w="15" w:type="dxa"/>
            <w:right w:w="15" w:type="dxa"/>
          </w:tblCellMar>
        </w:tblPrEx>
        <w:trPr>
          <w:trHeight w:val="530"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翻译</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4080</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工程管理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18400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176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15420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4862</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6516</w:t>
            </w:r>
          </w:p>
        </w:tc>
      </w:tr>
      <w:tr>
        <w:trPr>
          <w:trHeight w:val="510"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工程造价</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18048</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工商管理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7953</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1270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1547</w:t>
            </w:r>
          </w:p>
        </w:tc>
      </w:tr>
      <w:tr>
        <w:tblPrEx>
          <w:tblCellMar>
            <w:top w:w="15" w:type="dxa"/>
            <w:left w:w="15" w:type="dxa"/>
            <w:bottom w:w="15" w:type="dxa"/>
            <w:right w:w="15" w:type="dxa"/>
          </w:tblCellMar>
        </w:tblPrEx>
        <w:trPr>
          <w:trHeight w:val="572"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工商管理类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10428</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公共管理类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3696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4004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17</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国际经济与贸易</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19750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3298</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3152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4796</w:t>
            </w:r>
          </w:p>
        </w:tc>
      </w:tr>
      <w:tr>
        <w:tblPrEx>
          <w:tblCellMar>
            <w:top w:w="15" w:type="dxa"/>
            <w:left w:w="15" w:type="dxa"/>
            <w:bottom w:w="15" w:type="dxa"/>
            <w:right w:w="15" w:type="dxa"/>
          </w:tblCellMar>
        </w:tblPrEx>
        <w:trPr>
          <w:trHeight w:val="286"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国际商务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8435</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环境设计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11461</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9084</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4224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会计学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284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77532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4420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5256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10140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会展经济与管理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4104</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408</w:t>
            </w:r>
          </w:p>
        </w:tc>
      </w:tr>
      <w:tr>
        <w:tblPrEx>
          <w:tblCellMar>
            <w:top w:w="15" w:type="dxa"/>
            <w:left w:w="15" w:type="dxa"/>
            <w:bottom w:w="15" w:type="dxa"/>
            <w:right w:w="15" w:type="dxa"/>
          </w:tblCellMar>
        </w:tblPrEx>
        <w:trPr>
          <w:trHeight w:val="286" w:hRule="atLeast"/>
          <w:jc w:val="center"/>
        </w:trPr>
        <w:tc>
          <w:tcPr>
            <w:tcW w:w="1078"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22</w:t>
            </w:r>
          </w:p>
        </w:tc>
        <w:tc>
          <w:tcPr>
            <w:tcW w:w="2108" w:type="dxa"/>
            <w:vMerge w:val="restart"/>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计算机科学与技术</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7386</w:t>
            </w:r>
          </w:p>
        </w:tc>
      </w:tr>
      <w:tr>
        <w:tblPrEx>
          <w:tblCellMar>
            <w:top w:w="15" w:type="dxa"/>
            <w:left w:w="15" w:type="dxa"/>
            <w:bottom w:w="15" w:type="dxa"/>
            <w:right w:w="15" w:type="dxa"/>
          </w:tblCellMar>
        </w:tblPrEx>
        <w:trPr>
          <w:trHeight w:val="286" w:hRule="atLeast"/>
          <w:jc w:val="center"/>
        </w:trPr>
        <w:tc>
          <w:tcPr>
            <w:tcW w:w="107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14025</w:t>
            </w:r>
          </w:p>
        </w:tc>
      </w:tr>
      <w:tr>
        <w:trPr>
          <w:trHeight w:val="286" w:hRule="atLeast"/>
          <w:jc w:val="center"/>
        </w:trPr>
        <w:tc>
          <w:tcPr>
            <w:tcW w:w="107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18698</w:t>
            </w:r>
          </w:p>
        </w:tc>
      </w:tr>
      <w:tr>
        <w:tblPrEx>
          <w:tblCellMar>
            <w:top w:w="15" w:type="dxa"/>
            <w:left w:w="15" w:type="dxa"/>
            <w:bottom w:w="15" w:type="dxa"/>
            <w:right w:w="15" w:type="dxa"/>
          </w:tblCellMar>
        </w:tblPrEx>
        <w:trPr>
          <w:trHeight w:val="286" w:hRule="atLeast"/>
          <w:jc w:val="center"/>
        </w:trPr>
        <w:tc>
          <w:tcPr>
            <w:tcW w:w="107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3912</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金融工程</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9492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1394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990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2092</w:t>
            </w:r>
          </w:p>
        </w:tc>
      </w:tr>
      <w:tr>
        <w:tblPrEx>
          <w:tblCellMar>
            <w:top w:w="15" w:type="dxa"/>
            <w:left w:w="15" w:type="dxa"/>
            <w:bottom w:w="15" w:type="dxa"/>
            <w:right w:w="15" w:type="dxa"/>
          </w:tblCellMar>
        </w:tblPrEx>
        <w:trPr>
          <w:trHeight w:val="286"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24</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金融科技</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2944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金融数学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8550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3672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828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2200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26</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金融学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276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52440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298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26770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2196</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3652</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27</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金融学类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3780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8780</w:t>
            </w:r>
          </w:p>
        </w:tc>
      </w:tr>
      <w:tr>
        <w:tblPrEx>
          <w:tblCellMar>
            <w:top w:w="15" w:type="dxa"/>
            <w:left w:w="15" w:type="dxa"/>
            <w:bottom w:w="15" w:type="dxa"/>
            <w:right w:w="15" w:type="dxa"/>
          </w:tblCellMar>
        </w:tblPrEx>
        <w:trPr>
          <w:trHeight w:val="572"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28</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经济统计学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22632</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29</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经济学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25848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510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540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2772</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经济学类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2880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8336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31</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酒店管理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2000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680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11926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6552</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32</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劳动与社会保障</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9640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2496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33</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旅游管理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9856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2686</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9133</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34</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旅游管理类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2754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7128</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35</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烹饪与营养教育</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3680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2592</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1848</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36</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人工智能</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7274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1272</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37</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人力资源管理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16352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3944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38</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软件工程</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9396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13360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10536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5622</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商务经济学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14112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1428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3060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40</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商务英语</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5117</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1530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41</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设计学类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319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5742</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9284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42</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审计学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30576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2142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271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6166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5936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43</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市场营销</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11648</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731</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2566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44</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视觉传达设计</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21195</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9396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45</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数据科学与大数据技术</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5610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3876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6834</w:t>
            </w:r>
          </w:p>
        </w:tc>
      </w:tr>
      <w:tr>
        <w:tblPrEx>
          <w:tblCellMar>
            <w:top w:w="15" w:type="dxa"/>
            <w:left w:w="15" w:type="dxa"/>
            <w:bottom w:w="15" w:type="dxa"/>
            <w:right w:w="15" w:type="dxa"/>
          </w:tblCellMar>
        </w:tblPrEx>
        <w:trPr>
          <w:trHeight w:val="428"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2508</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46</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数字媒体艺术</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7452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4896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47</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税收学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14560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5712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2414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1272</w:t>
            </w:r>
          </w:p>
        </w:tc>
      </w:tr>
      <w:tr>
        <w:tblPrEx>
          <w:tblCellMar>
            <w:top w:w="15" w:type="dxa"/>
            <w:left w:w="15" w:type="dxa"/>
            <w:bottom w:w="15" w:type="dxa"/>
            <w:right w:w="15" w:type="dxa"/>
          </w:tblCellMar>
        </w:tblPrEx>
        <w:trPr>
          <w:trHeight w:val="286"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体育经济与管理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9326</w:t>
            </w:r>
          </w:p>
        </w:tc>
      </w:tr>
      <w:tr>
        <w:tblPrEx>
          <w:tblCellMar>
            <w:top w:w="15" w:type="dxa"/>
            <w:left w:w="15" w:type="dxa"/>
            <w:bottom w:w="15" w:type="dxa"/>
            <w:right w:w="15" w:type="dxa"/>
          </w:tblCellMar>
        </w:tblPrEx>
        <w:trPr>
          <w:trHeight w:val="286" w:hRule="atLeast"/>
          <w:jc w:val="center"/>
        </w:trPr>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49</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统计学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7740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50</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统计学类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2664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6952</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51</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投资学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13122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3516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1620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1836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52</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外国语言文学类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6384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171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7524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53</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网络与新媒体</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7560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10880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7758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9312</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54</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物联网工程</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3456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41</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5094</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3360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3744</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55</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物流管理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23484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7956</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56</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物流管理与工程类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1908</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6536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57</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新闻传播学类</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3420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218</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16576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58</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新闻学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2548</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1989</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46</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2346</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59</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信息管理与信息系统</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15792</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2350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132</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6160</w:t>
            </w:r>
          </w:p>
        </w:tc>
      </w:tr>
      <w:tr>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60</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行政管理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53</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11872</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3235</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61</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休闲体育</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11114</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7514</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3960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62</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英语</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67</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4490</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34</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1156</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840</w:t>
            </w:r>
          </w:p>
        </w:tc>
      </w:tr>
      <w:tr>
        <w:tblPrEx>
          <w:tblCellMar>
            <w:top w:w="15" w:type="dxa"/>
            <w:left w:w="15" w:type="dxa"/>
            <w:bottom w:w="15" w:type="dxa"/>
            <w:right w:w="15" w:type="dxa"/>
          </w:tblCellMar>
        </w:tblPrEx>
        <w:trPr>
          <w:trHeight w:val="286" w:hRule="atLeast"/>
          <w:jc w:val="center"/>
        </w:trPr>
        <w:tc>
          <w:tcPr>
            <w:tcW w:w="10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63</w:t>
            </w:r>
          </w:p>
        </w:tc>
        <w:tc>
          <w:tcPr>
            <w:tcW w:w="21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资源与环境经济学</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2019级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69</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15594</w:t>
            </w:r>
          </w:p>
        </w:tc>
      </w:tr>
      <w:tr>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2020级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3244</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55</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990</w:t>
            </w:r>
          </w:p>
        </w:tc>
      </w:tr>
      <w:tr>
        <w:tblPrEx>
          <w:tblCellMar>
            <w:top w:w="15" w:type="dxa"/>
            <w:left w:w="15" w:type="dxa"/>
            <w:bottom w:w="15" w:type="dxa"/>
            <w:right w:w="15" w:type="dxa"/>
          </w:tblCellMar>
        </w:tblPrEx>
        <w:trPr>
          <w:trHeight w:val="286" w:hRule="atLeast"/>
          <w:jc w:val="center"/>
        </w:trPr>
        <w:tc>
          <w:tcPr>
            <w:tcW w:w="10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color w:val="000000"/>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60</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2640</w:t>
            </w:r>
          </w:p>
        </w:tc>
      </w:tr>
    </w:tbl>
    <w:p>
      <w:pPr>
        <w:ind w:firstLine="470" w:firstLineChars="196"/>
        <w:rPr>
          <w:rFonts w:ascii="楷体" w:hAnsi="楷体" w:eastAsia="楷体"/>
          <w:bCs/>
        </w:rPr>
      </w:pPr>
      <w:r>
        <w:rPr>
          <w:rFonts w:hint="eastAsia" w:ascii="楷体" w:hAnsi="楷体" w:eastAsia="楷体"/>
          <w:bCs/>
        </w:rPr>
        <w:t>注：面向的本校专业：实验教学内容列入专业人才培养方案的专业。</w:t>
      </w:r>
    </w:p>
    <w:p>
      <w:pPr>
        <w:rPr>
          <w:rFonts w:ascii="楷体" w:hAnsi="楷体" w:eastAsia="楷体"/>
          <w:bCs/>
        </w:rPr>
      </w:pP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（二）实验教学资源情况</w:t>
      </w:r>
    </w:p>
    <w:tbl>
      <w:tblPr>
        <w:tblStyle w:val="12"/>
        <w:tblW w:w="8352" w:type="dxa"/>
        <w:tblInd w:w="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399"/>
        <w:gridCol w:w="3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399" w:type="dxa"/>
            <w:shd w:val="clear" w:color="auto" w:fill="auto"/>
            <w:vAlign w:val="center"/>
          </w:tcPr>
          <w:p>
            <w:pPr>
              <w:jc w:val="center"/>
              <w:rPr>
                <w:rFonts w:ascii="楷体" w:hAnsi="楷体" w:eastAsia="楷体" w:cs="楷体"/>
                <w:bCs/>
              </w:rPr>
            </w:pPr>
            <w:r>
              <w:rPr>
                <w:rFonts w:hint="eastAsia" w:ascii="楷体" w:hAnsi="楷体" w:eastAsia="楷体" w:cs="楷体"/>
                <w:bCs/>
              </w:rPr>
              <w:t>实验项目资源总数</w:t>
            </w:r>
          </w:p>
        </w:tc>
        <w:tc>
          <w:tcPr>
            <w:tcW w:w="3953" w:type="dxa"/>
            <w:shd w:val="clear" w:color="auto" w:fill="auto"/>
          </w:tcPr>
          <w:p>
            <w:pPr>
              <w:jc w:val="center"/>
              <w:rPr>
                <w:rFonts w:ascii="楷体" w:hAnsi="楷体" w:eastAsia="楷体" w:cs="楷体"/>
                <w:bCs/>
              </w:rPr>
            </w:pPr>
            <w:r>
              <w:rPr>
                <w:rFonts w:hint="eastAsia" w:ascii="楷体" w:hAnsi="楷体" w:eastAsia="楷体" w:cs="楷体"/>
                <w:bCs/>
              </w:rPr>
              <w:t>1597个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7" w:hRule="atLeast"/>
        </w:trPr>
        <w:tc>
          <w:tcPr>
            <w:tcW w:w="4399" w:type="dxa"/>
            <w:vAlign w:val="center"/>
          </w:tcPr>
          <w:p>
            <w:pPr>
              <w:jc w:val="center"/>
              <w:rPr>
                <w:rFonts w:ascii="楷体" w:hAnsi="楷体" w:eastAsia="楷体" w:cs="楷体"/>
                <w:bCs/>
              </w:rPr>
            </w:pPr>
            <w:r>
              <w:rPr>
                <w:rFonts w:hint="eastAsia" w:ascii="楷体" w:hAnsi="楷体" w:eastAsia="楷体" w:cs="楷体"/>
                <w:bCs/>
              </w:rPr>
              <w:t>年度开设实验项目数</w:t>
            </w:r>
          </w:p>
        </w:tc>
        <w:tc>
          <w:tcPr>
            <w:tcW w:w="3953" w:type="dxa"/>
          </w:tcPr>
          <w:p>
            <w:pPr>
              <w:jc w:val="center"/>
              <w:rPr>
                <w:rFonts w:ascii="楷体" w:hAnsi="楷体" w:eastAsia="楷体" w:cs="楷体"/>
                <w:bCs/>
              </w:rPr>
            </w:pPr>
            <w:r>
              <w:rPr>
                <w:rFonts w:hint="eastAsia" w:ascii="楷体" w:hAnsi="楷体" w:eastAsia="楷体" w:cs="楷体"/>
                <w:bCs/>
              </w:rPr>
              <w:t>517个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8" w:hRule="atLeast"/>
        </w:trPr>
        <w:tc>
          <w:tcPr>
            <w:tcW w:w="4399" w:type="dxa"/>
            <w:vAlign w:val="center"/>
          </w:tcPr>
          <w:p>
            <w:pPr>
              <w:jc w:val="center"/>
              <w:rPr>
                <w:rFonts w:ascii="楷体" w:hAnsi="楷体" w:eastAsia="楷体" w:cs="楷体"/>
                <w:bCs/>
              </w:rPr>
            </w:pPr>
            <w:r>
              <w:rPr>
                <w:rFonts w:hint="eastAsia" w:ascii="楷体" w:hAnsi="楷体" w:eastAsia="楷体" w:cs="楷体"/>
                <w:bCs/>
              </w:rPr>
              <w:t>年度独立设课的实验课程</w:t>
            </w:r>
          </w:p>
        </w:tc>
        <w:tc>
          <w:tcPr>
            <w:tcW w:w="3953" w:type="dxa"/>
          </w:tcPr>
          <w:p>
            <w:pPr>
              <w:jc w:val="center"/>
              <w:rPr>
                <w:rFonts w:ascii="楷体" w:hAnsi="楷体" w:eastAsia="楷体" w:cs="楷体"/>
                <w:bCs/>
                <w:highlight w:val="yellow"/>
              </w:rPr>
            </w:pPr>
            <w:r>
              <w:rPr>
                <w:rFonts w:hint="eastAsia" w:ascii="楷体" w:hAnsi="楷体" w:eastAsia="楷体" w:cs="楷体"/>
                <w:bCs/>
              </w:rPr>
              <w:t>110门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399" w:type="dxa"/>
            <w:vAlign w:val="center"/>
          </w:tcPr>
          <w:p>
            <w:pPr>
              <w:jc w:val="center"/>
              <w:rPr>
                <w:rFonts w:ascii="楷体" w:hAnsi="楷体" w:eastAsia="楷体" w:cs="楷体"/>
                <w:bCs/>
              </w:rPr>
            </w:pPr>
            <w:r>
              <w:rPr>
                <w:rFonts w:hint="eastAsia" w:ascii="楷体" w:hAnsi="楷体" w:eastAsia="楷体" w:cs="楷体"/>
                <w:bCs/>
              </w:rPr>
              <w:t>实验教材总数</w:t>
            </w:r>
          </w:p>
        </w:tc>
        <w:tc>
          <w:tcPr>
            <w:tcW w:w="3953" w:type="dxa"/>
          </w:tcPr>
          <w:p>
            <w:pPr>
              <w:jc w:val="center"/>
              <w:rPr>
                <w:rFonts w:ascii="楷体" w:hAnsi="楷体" w:eastAsia="楷体" w:cs="楷体"/>
                <w:bCs/>
              </w:rPr>
            </w:pPr>
            <w:r>
              <w:rPr>
                <w:rFonts w:hint="eastAsia" w:ascii="楷体" w:hAnsi="楷体" w:eastAsia="楷体" w:cs="楷体"/>
                <w:bCs/>
              </w:rPr>
              <w:t>3种（见2022年底教材出版工作量申报表汇总表）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4399" w:type="dxa"/>
            <w:vAlign w:val="center"/>
          </w:tcPr>
          <w:p>
            <w:pPr>
              <w:jc w:val="center"/>
              <w:rPr>
                <w:rFonts w:ascii="楷体" w:hAnsi="楷体" w:eastAsia="楷体" w:cs="楷体"/>
                <w:bCs/>
              </w:rPr>
            </w:pPr>
            <w:r>
              <w:rPr>
                <w:rFonts w:hint="eastAsia" w:ascii="楷体" w:hAnsi="楷体" w:eastAsia="楷体" w:cs="楷体"/>
                <w:bCs/>
              </w:rPr>
              <w:t>年度新增实验教材</w:t>
            </w:r>
          </w:p>
        </w:tc>
        <w:tc>
          <w:tcPr>
            <w:tcW w:w="3953" w:type="dxa"/>
          </w:tcPr>
          <w:p>
            <w:pPr>
              <w:jc w:val="center"/>
              <w:rPr>
                <w:rFonts w:ascii="楷体" w:hAnsi="楷体" w:eastAsia="楷体" w:cs="楷体"/>
                <w:bCs/>
              </w:rPr>
            </w:pPr>
            <w:r>
              <w:rPr>
                <w:rFonts w:hint="eastAsia" w:ascii="楷体" w:hAnsi="楷体" w:eastAsia="楷体" w:cs="楷体"/>
                <w:bCs/>
              </w:rPr>
              <w:t>2种</w:t>
            </w:r>
          </w:p>
        </w:tc>
      </w:tr>
    </w:tbl>
    <w:p>
      <w:pPr>
        <w:ind w:firstLine="480" w:firstLineChars="200"/>
        <w:rPr>
          <w:rFonts w:ascii="楷体" w:hAnsi="楷体" w:eastAsia="楷体"/>
          <w:bCs/>
        </w:rPr>
      </w:pPr>
      <w:r>
        <w:rPr>
          <w:rFonts w:hint="eastAsia" w:ascii="楷体" w:hAnsi="楷体" w:eastAsia="楷体"/>
          <w:bCs/>
        </w:rPr>
        <w:t>注：（1）实验项目：有实验讲义和既往学生实验报告的实验项目。（2）实验教材：由中心固定人员担任主编、正式出版的实验教材。（3）实验课程：在专业培养方案中独立设置学分的实验课程。</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（三）学生获奖情况</w:t>
      </w:r>
    </w:p>
    <w:tbl>
      <w:tblPr>
        <w:tblStyle w:val="11"/>
        <w:tblW w:w="4907"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71"/>
        <w:gridCol w:w="3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15" w:type="pct"/>
            <w:vAlign w:val="center"/>
          </w:tcPr>
          <w:p>
            <w:pPr>
              <w:jc w:val="center"/>
              <w:rPr>
                <w:rFonts w:ascii="楷体" w:hAnsi="楷体" w:eastAsia="楷体" w:cs="楷体"/>
                <w:bCs/>
              </w:rPr>
            </w:pPr>
            <w:r>
              <w:rPr>
                <w:rFonts w:hint="eastAsia" w:ascii="楷体" w:hAnsi="楷体" w:eastAsia="楷体" w:cs="楷体"/>
                <w:bCs/>
              </w:rPr>
              <w:t>学生获奖人数</w:t>
            </w:r>
          </w:p>
        </w:tc>
        <w:tc>
          <w:tcPr>
            <w:tcW w:w="2385" w:type="pct"/>
            <w:vAlign w:val="center"/>
          </w:tcPr>
          <w:p>
            <w:pPr>
              <w:jc w:val="center"/>
              <w:rPr>
                <w:rFonts w:ascii="楷体" w:hAnsi="楷体" w:eastAsia="楷体" w:cs="楷体"/>
                <w:bCs/>
              </w:rPr>
            </w:pPr>
            <w:r>
              <w:rPr>
                <w:rFonts w:hint="eastAsia" w:ascii="楷体" w:hAnsi="楷体" w:eastAsia="楷体" w:cs="楷体"/>
                <w:bCs/>
              </w:rPr>
              <w:t>509人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15" w:type="pct"/>
            <w:vAlign w:val="center"/>
          </w:tcPr>
          <w:p>
            <w:pPr>
              <w:jc w:val="center"/>
              <w:rPr>
                <w:rFonts w:ascii="楷体" w:hAnsi="楷体" w:eastAsia="楷体" w:cs="楷体"/>
                <w:bCs/>
              </w:rPr>
            </w:pPr>
            <w:r>
              <w:rPr>
                <w:rFonts w:hint="eastAsia" w:ascii="楷体" w:hAnsi="楷体" w:eastAsia="楷体" w:cs="楷体"/>
                <w:bCs/>
              </w:rPr>
              <w:t>学生发表论文数</w:t>
            </w:r>
          </w:p>
        </w:tc>
        <w:tc>
          <w:tcPr>
            <w:tcW w:w="2385" w:type="pct"/>
            <w:vAlign w:val="center"/>
          </w:tcPr>
          <w:p>
            <w:pPr>
              <w:jc w:val="center"/>
              <w:rPr>
                <w:rFonts w:ascii="楷体" w:hAnsi="楷体" w:eastAsia="楷体" w:cs="楷体"/>
                <w:bCs/>
              </w:rPr>
            </w:pPr>
            <w:r>
              <w:rPr>
                <w:rFonts w:hint="eastAsia" w:ascii="楷体" w:hAnsi="楷体" w:eastAsia="楷体" w:cs="楷体"/>
                <w:bCs/>
              </w:rPr>
              <w:t>44篇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15" w:type="pct"/>
            <w:vAlign w:val="center"/>
          </w:tcPr>
          <w:p>
            <w:pPr>
              <w:jc w:val="center"/>
              <w:rPr>
                <w:rFonts w:ascii="楷体" w:hAnsi="楷体" w:eastAsia="楷体" w:cs="楷体"/>
                <w:bCs/>
              </w:rPr>
            </w:pPr>
            <w:r>
              <w:rPr>
                <w:rFonts w:hint="eastAsia" w:ascii="楷体" w:hAnsi="楷体" w:eastAsia="楷体" w:cs="楷体"/>
                <w:bCs/>
              </w:rPr>
              <w:t>学生获得专利数</w:t>
            </w:r>
          </w:p>
        </w:tc>
        <w:tc>
          <w:tcPr>
            <w:tcW w:w="2385" w:type="pct"/>
            <w:vAlign w:val="center"/>
          </w:tcPr>
          <w:p>
            <w:pPr>
              <w:jc w:val="center"/>
              <w:rPr>
                <w:rFonts w:ascii="楷体" w:hAnsi="楷体" w:eastAsia="楷体" w:cs="楷体"/>
                <w:bCs/>
              </w:rPr>
            </w:pPr>
            <w:r>
              <w:rPr>
                <w:rFonts w:hint="eastAsia" w:ascii="楷体" w:hAnsi="楷体" w:eastAsia="楷体" w:cs="楷体"/>
                <w:bCs/>
              </w:rPr>
              <w:t>31项</w:t>
            </w:r>
          </w:p>
        </w:tc>
      </w:tr>
    </w:tbl>
    <w:p>
      <w:pPr>
        <w:ind w:firstLine="480" w:firstLineChars="200"/>
        <w:rPr>
          <w:rFonts w:ascii="楷体" w:hAnsi="楷体" w:eastAsia="楷体"/>
          <w:bCs/>
        </w:rPr>
      </w:pPr>
      <w:r>
        <w:rPr>
          <w:rFonts w:hint="eastAsia" w:ascii="楷体" w:hAnsi="楷体" w:eastAsia="楷体"/>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63" w:beforeLines="50"/>
        <w:ind w:firstLine="630" w:firstLineChars="196"/>
        <w:rPr>
          <w:rFonts w:ascii="黑体" w:hAnsi="黑体" w:eastAsia="黑体"/>
          <w:b/>
          <w:bCs/>
          <w:sz w:val="32"/>
          <w:szCs w:val="32"/>
        </w:rPr>
      </w:pPr>
    </w:p>
    <w:p>
      <w:pPr>
        <w:spacing w:before="163" w:beforeLines="50"/>
        <w:ind w:firstLine="630" w:firstLineChars="196"/>
        <w:rPr>
          <w:rFonts w:ascii="黑体" w:hAnsi="黑体" w:eastAsia="黑体"/>
          <w:b/>
          <w:bCs/>
          <w:sz w:val="32"/>
          <w:szCs w:val="32"/>
        </w:rPr>
      </w:pPr>
      <w:r>
        <w:rPr>
          <w:rFonts w:hint="eastAsia" w:ascii="黑体" w:hAnsi="黑体" w:eastAsia="黑体"/>
          <w:b/>
          <w:bCs/>
          <w:sz w:val="32"/>
          <w:szCs w:val="32"/>
        </w:rPr>
        <w:t>四、教学改革与科学研究情况</w:t>
      </w:r>
    </w:p>
    <w:p>
      <w:pPr>
        <w:spacing w:before="163" w:beforeLines="50" w:after="163" w:afterLines="50"/>
        <w:ind w:firstLine="560" w:firstLineChars="200"/>
        <w:rPr>
          <w:rFonts w:ascii="黑体" w:hAnsi="黑体" w:eastAsia="黑体"/>
          <w:bCs/>
          <w:sz w:val="28"/>
          <w:szCs w:val="28"/>
        </w:rPr>
      </w:pPr>
      <w:r>
        <w:rPr>
          <w:rFonts w:hint="eastAsia" w:ascii="黑体" w:hAnsi="黑体" w:eastAsia="黑体"/>
          <w:bCs/>
          <w:sz w:val="28"/>
          <w:szCs w:val="28"/>
        </w:rPr>
        <w:t>（一）</w:t>
      </w:r>
      <w:r>
        <w:rPr>
          <w:rFonts w:hint="eastAsia" w:ascii="黑体" w:hAnsi="黑体" w:eastAsia="黑体" w:cs="仿宋_GB2312"/>
          <w:bCs/>
          <w:sz w:val="28"/>
          <w:szCs w:val="28"/>
        </w:rPr>
        <w:t>承担教学改革任务及经费</w:t>
      </w:r>
    </w:p>
    <w:tbl>
      <w:tblPr>
        <w:tblStyle w:val="11"/>
        <w:tblW w:w="8504" w:type="dxa"/>
        <w:jc w:val="center"/>
        <w:tblLayout w:type="fixed"/>
        <w:tblCellMar>
          <w:top w:w="15" w:type="dxa"/>
          <w:left w:w="15" w:type="dxa"/>
          <w:bottom w:w="15" w:type="dxa"/>
          <w:right w:w="15" w:type="dxa"/>
        </w:tblCellMar>
      </w:tblPr>
      <w:tblGrid>
        <w:gridCol w:w="427"/>
        <w:gridCol w:w="1558"/>
        <w:gridCol w:w="1207"/>
        <w:gridCol w:w="1037"/>
        <w:gridCol w:w="1696"/>
        <w:gridCol w:w="986"/>
        <w:gridCol w:w="924"/>
        <w:gridCol w:w="669"/>
      </w:tblGrid>
      <w:tr>
        <w:tblPrEx>
          <w:tblCellMar>
            <w:top w:w="15" w:type="dxa"/>
            <w:left w:w="15" w:type="dxa"/>
            <w:bottom w:w="15" w:type="dxa"/>
            <w:right w:w="15" w:type="dxa"/>
          </w:tblCellMar>
        </w:tblPrEx>
        <w:trPr>
          <w:trHeight w:val="900" w:hRule="atLeast"/>
          <w:tblHeader/>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项目/</w:t>
            </w:r>
          </w:p>
          <w:p>
            <w:pPr>
              <w:adjustRightInd w:val="0"/>
              <w:snapToGrid w:val="0"/>
              <w:jc w:val="center"/>
              <w:rPr>
                <w:rFonts w:ascii="黑体" w:hAnsi="黑体" w:eastAsia="黑体" w:cs="宋体"/>
              </w:rPr>
            </w:pPr>
            <w:r>
              <w:rPr>
                <w:rFonts w:hint="eastAsia" w:ascii="黑体" w:hAnsi="黑体" w:eastAsia="黑体" w:cs="宋体"/>
              </w:rPr>
              <w:t>课题名称</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文号</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负责人</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参加人员</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起止</w:t>
            </w:r>
          </w:p>
          <w:p>
            <w:pPr>
              <w:adjustRightInd w:val="0"/>
              <w:snapToGrid w:val="0"/>
              <w:jc w:val="center"/>
              <w:rPr>
                <w:rFonts w:ascii="黑体" w:hAnsi="黑体" w:eastAsia="黑体" w:cs="宋体"/>
              </w:rPr>
            </w:pPr>
            <w:r>
              <w:rPr>
                <w:rFonts w:hint="eastAsia" w:ascii="黑体" w:hAnsi="黑体" w:eastAsia="黑体" w:cs="宋体"/>
              </w:rPr>
              <w:t>时间</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经费</w:t>
            </w:r>
          </w:p>
          <w:p>
            <w:pPr>
              <w:adjustRightInd w:val="0"/>
              <w:snapToGrid w:val="0"/>
              <w:jc w:val="center"/>
              <w:rPr>
                <w:rFonts w:ascii="黑体" w:hAnsi="黑体" w:eastAsia="黑体" w:cs="宋体"/>
              </w:rPr>
            </w:pPr>
            <w:r>
              <w:rPr>
                <w:rFonts w:hint="eastAsia" w:ascii="黑体" w:hAnsi="黑体" w:eastAsia="黑体" w:cs="宋体"/>
              </w:rPr>
              <w:t>（万元）</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CellMar>
            <w:top w:w="15" w:type="dxa"/>
            <w:left w:w="15" w:type="dxa"/>
            <w:bottom w:w="15" w:type="dxa"/>
            <w:right w:w="15" w:type="dxa"/>
          </w:tblCellMar>
        </w:tblPrEx>
        <w:trPr>
          <w:trHeight w:val="72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湖北义务教育优质均衡发展的财政保障机制研究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2022GA052</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郝二虎</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魏涛、陶东杰、李成、宋菲菲、李永豪</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（会硕学生）</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20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TPB框架下大学生新业态认知、就业意愿与就业促进研究——以湖北省为例</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2022GA053</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严妮</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袁文艺、任立、段云华、</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贺睿博、夏菲、冯兰、彭冠然</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3</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“价值共创”导向下的湖北高校双创教育生态系统优化研究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2022GA054</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刘嵘</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DIEDERICH BAKKER、夏喆、杨亚娟、苏国兵、褚炜超</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72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4</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智能时代会计类专业融合与重构研究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2022GB054</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李井林</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胡伟、刘迅、</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曾义、黄海燕、冯秋南、张金莲</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441"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5</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基于资源创新与数据融合的新商科实验教学共享平台构建研究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2022GB055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刘君</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陈新武、王琼、毛志斌、靳洪、李刚、巩兴军、胡川、杨爱民、陈忠伟、汪奇志、崔文琦、</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刘瑞麟</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6</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新时代大学生总体国家安全观培育研究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2022GB056</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朱宝林</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赵继伟、丁银河、代保平、</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齐志坚陈增贤、丁君涛、叶欣明</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7</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面向媒体智能化的新闻学一流本科专业人才培养理念革新探究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2022GB057</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金璐</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陈媛媛、李靓、李思思、陈晓</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8</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课程思政背景下大学语文专题化教学模式研究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2022ZA19</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王世立</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赵继伟、</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陈建华、</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宋德发、武博、谭绍江、</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谭少茹、李艳、秦宇霞、杨帅</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20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9</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新时代会计专业学位研究生教育与注册会计师职业资格衔接机制研究与实践</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2022ZA21</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刘晓凤</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索凯峰、谭辉、舒歆、董冠妮、杨雪、张瀚月、田秋菊</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10</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荆楚乡村工匠“五方教育”混合教学模式及协同创新路径研究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2022ZA29</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董冠妮</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黄朝斌、</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刘晓凤、杨洋、汪晓玥</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11</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总体国家安全观视域下高校国家安全教育机制构建研究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2022ZA31</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卢米雪</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陶前功、</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田全喜、</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商守卫、</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王磊、杨珂玲、夏伦、李倩、</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王丹凤</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72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12</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精准化生涯教育体系构建与实践探索</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2022ZA08</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刘晓凤</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龚振中、</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索凯峰、谭辉、舒歆、田秋菊、张瀚月、陈祎</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20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13</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对接数字经济人才需求的财经高校大学生就业力构建与提升路径研究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2022ZB09</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王琼</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付宏、商守卫、彭芸、邹晓涓、童藤、祝琴、</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陈骏、刘君、</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秦汉雨</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441"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14</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建构主义视域下指向深度学习的多维混合式教学模式研究——以市场营销学课程为例</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2021391</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李秀梅</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叶敏、袁微、</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邹远洋、黄志璿</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20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15</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一流专业背景下湖北省高校休闲体育专业实习实训基地建设实证研究　</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2021392</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马广卫</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王玉锋、孙辉、张俊、杨帅</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16</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“金课”背景下高校水上运动课程体系的构建与实践探索</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2021393</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陶然</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孙辉、王玉锋、杜君鹏、杨帅</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48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17</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大学生思政课学习评价体系研究　</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2021394</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王海涛</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赵继伟、</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丁银河、</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商守卫、涂刚鹏</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18</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经世济民：思政元素融入经济学课程教学的途径探索与效果评价</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王琼</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付宏、熊桉、</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高洁</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19</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大思政格局下财经类高校专业思政与课程思政耦合育人机制研究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2021396</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魏涛</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蔡红英、</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陶东杰、</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袁文艺、刘冰熙</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72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基于个体特征学习的在线课程学情监测机制研究　</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2021397</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徐勇</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张志刚、</w:t>
            </w:r>
          </w:p>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沈卉卉、</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黄振东、李丽</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96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21</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应用型地方本科高校管理学类专业实践教学体系设计和改革探索</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2021398</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袁微</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周庆、靳洪、</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吴钰萍、叶敏</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72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22</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旅游文化类课程实践教学融入思政元素的探索</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2021399</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周玄德</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邓祖涛、梁滨、张浩、陈乔</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r>
        <w:tblPrEx>
          <w:tblCellMar>
            <w:top w:w="15" w:type="dxa"/>
            <w:left w:w="15" w:type="dxa"/>
            <w:bottom w:w="15" w:type="dxa"/>
            <w:right w:w="15" w:type="dxa"/>
          </w:tblCellMar>
        </w:tblPrEx>
        <w:trPr>
          <w:trHeight w:val="1200" w:hRule="atLeast"/>
          <w:jc w:val="cent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23</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专长视域下翻译本科(BTI)口译笔记习得中的“高原效应”问题及教学策略研究</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2021400</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刘振</w:t>
            </w:r>
          </w:p>
        </w:tc>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kern w:val="0"/>
              </w:rPr>
            </w:pPr>
            <w:r>
              <w:rPr>
                <w:rFonts w:hint="eastAsia" w:ascii="楷体" w:hAnsi="楷体" w:eastAsia="楷体" w:cs="楷体"/>
                <w:color w:val="000000"/>
                <w:kern w:val="0"/>
              </w:rPr>
              <w:t>何明霞、</w:t>
            </w:r>
          </w:p>
          <w:p>
            <w:pPr>
              <w:widowControl/>
              <w:jc w:val="center"/>
              <w:textAlignment w:val="center"/>
              <w:rPr>
                <w:rFonts w:ascii="楷体" w:hAnsi="楷体" w:eastAsia="楷体" w:cs="楷体"/>
                <w:color w:val="000000"/>
              </w:rPr>
            </w:pPr>
            <w:r>
              <w:rPr>
                <w:rFonts w:hint="eastAsia" w:ascii="楷体" w:hAnsi="楷体" w:eastAsia="楷体" w:cs="楷体"/>
                <w:color w:val="000000"/>
                <w:kern w:val="0"/>
              </w:rPr>
              <w:t>夏方耘、韩琪、邓军涛</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202209-202410</w:t>
            </w:r>
          </w:p>
        </w:tc>
        <w:tc>
          <w:tcPr>
            <w:tcW w:w="9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楷体" w:hAnsi="楷体" w:eastAsia="楷体" w:cs="楷体"/>
              </w:rPr>
            </w:pPr>
            <w:r>
              <w:rPr>
                <w:rFonts w:hint="eastAsia" w:ascii="楷体" w:hAnsi="楷体" w:eastAsia="楷体" w:cs="楷体"/>
                <w:color w:val="000000"/>
                <w:kern w:val="0"/>
              </w:rPr>
              <w:t>1</w:t>
            </w:r>
          </w:p>
        </w:tc>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楷体" w:hAnsi="楷体" w:eastAsia="楷体" w:cs="楷体"/>
                <w:color w:val="000000"/>
              </w:rPr>
            </w:pPr>
            <w:r>
              <w:rPr>
                <w:rFonts w:hint="eastAsia" w:ascii="楷体" w:hAnsi="楷体" w:eastAsia="楷体" w:cs="楷体"/>
                <w:color w:val="000000"/>
                <w:kern w:val="0"/>
              </w:rPr>
              <w:t>a</w:t>
            </w:r>
          </w:p>
        </w:tc>
      </w:tr>
    </w:tbl>
    <w:p>
      <w:pPr>
        <w:spacing w:before="163" w:beforeLines="50"/>
        <w:ind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rPr>
        <w:t>此表填写省部级以上教学改革项目</w:t>
      </w:r>
      <w:r>
        <w:rPr>
          <w:rFonts w:hint="eastAsia" w:ascii="楷体" w:hAnsi="楷体" w:eastAsia="楷体"/>
          <w:bCs/>
        </w:rPr>
        <w:t>/</w:t>
      </w:r>
      <w:r>
        <w:rPr>
          <w:rFonts w:ascii="楷体" w:hAnsi="楷体" w:eastAsia="楷体"/>
          <w:bCs/>
        </w:rPr>
        <w:t>课题</w:t>
      </w:r>
      <w:r>
        <w:rPr>
          <w:rFonts w:hint="eastAsia" w:ascii="楷体" w:hAnsi="楷体" w:eastAsia="楷体"/>
          <w:bCs/>
        </w:rPr>
        <w:t>。</w:t>
      </w:r>
      <w:r>
        <w:rPr>
          <w:rFonts w:hint="eastAsia" w:ascii="楷体" w:hAnsi="楷体" w:eastAsia="楷体"/>
        </w:rPr>
        <w:t>（1）项目/课题</w:t>
      </w:r>
      <w:r>
        <w:rPr>
          <w:rFonts w:ascii="楷体" w:hAnsi="楷体" w:eastAsia="楷体"/>
          <w:bCs/>
        </w:rPr>
        <w:t>名称：</w:t>
      </w:r>
      <w:r>
        <w:rPr>
          <w:rFonts w:ascii="楷体" w:hAnsi="楷体" w:eastAsia="楷体" w:cs="仿宋_GB2312"/>
        </w:rPr>
        <w:t>项目管理部门下达的有正式文号的最小一级子课题名称。</w:t>
      </w:r>
      <w:r>
        <w:rPr>
          <w:rFonts w:hint="eastAsia" w:ascii="楷体" w:hAnsi="楷体" w:eastAsia="楷体" w:cs="仿宋_GB2312"/>
        </w:rPr>
        <w:t>（2）</w:t>
      </w:r>
      <w:r>
        <w:rPr>
          <w:rFonts w:ascii="楷体" w:hAnsi="楷体" w:eastAsia="楷体" w:cs="仿宋_GB2312"/>
          <w:bCs/>
        </w:rPr>
        <w:t>文号：</w:t>
      </w:r>
      <w:r>
        <w:rPr>
          <w:rFonts w:ascii="楷体" w:hAnsi="楷体" w:eastAsia="楷体" w:cs="仿宋_GB2312"/>
        </w:rPr>
        <w:t>项目管理部门下达文件的文号。</w:t>
      </w:r>
      <w:r>
        <w:rPr>
          <w:rFonts w:hint="eastAsia" w:ascii="楷体" w:hAnsi="楷体" w:eastAsia="楷体" w:cs="仿宋_GB2312"/>
        </w:rPr>
        <w:t>（3）</w:t>
      </w:r>
      <w:r>
        <w:rPr>
          <w:rFonts w:ascii="楷体" w:hAnsi="楷体" w:eastAsia="楷体" w:cs="仿宋_GB2312"/>
        </w:rPr>
        <w:t>负责人：必须是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w:t>
      </w:r>
      <w:r>
        <w:rPr>
          <w:rFonts w:ascii="楷体" w:hAnsi="楷体" w:eastAsia="楷体" w:cs="仿宋_GB2312"/>
        </w:rPr>
        <w:t>。</w:t>
      </w:r>
      <w:r>
        <w:rPr>
          <w:rFonts w:hint="eastAsia" w:ascii="楷体" w:hAnsi="楷体" w:eastAsia="楷体" w:cs="仿宋_GB2312"/>
        </w:rPr>
        <w:t>（4）</w:t>
      </w:r>
      <w:r>
        <w:rPr>
          <w:rFonts w:ascii="楷体" w:hAnsi="楷体" w:eastAsia="楷体" w:cs="宋体"/>
          <w:bCs/>
        </w:rPr>
        <w:t>参加人员：</w:t>
      </w:r>
      <w:r>
        <w:rPr>
          <w:rFonts w:ascii="楷体" w:hAnsi="楷体" w:eastAsia="楷体" w:cs="宋体"/>
        </w:rPr>
        <w:t>所有参加人员，</w:t>
      </w:r>
      <w:r>
        <w:rPr>
          <w:rFonts w:ascii="楷体" w:hAnsi="楷体" w:eastAsia="楷体"/>
        </w:rPr>
        <w:t>其中研究生、博士后名字后标注*，非本中心人员名字后标注＃。</w:t>
      </w:r>
      <w:r>
        <w:rPr>
          <w:rFonts w:hint="eastAsia" w:ascii="楷体" w:hAnsi="楷体" w:eastAsia="楷体"/>
        </w:rPr>
        <w:t>（5）</w:t>
      </w:r>
      <w:r>
        <w:rPr>
          <w:rFonts w:hint="eastAsia" w:ascii="楷体" w:hAnsi="楷体" w:eastAsia="楷体"/>
          <w:bCs/>
        </w:rPr>
        <w:t>经费：</w:t>
      </w:r>
      <w:r>
        <w:rPr>
          <w:rFonts w:hint="eastAsia" w:ascii="楷体" w:hAnsi="楷体" w:eastAsia="楷体" w:cs="仿宋_GB2312"/>
        </w:rPr>
        <w:t>指示范中心本年度实际到账的研究经费。（6）</w:t>
      </w:r>
      <w:r>
        <w:rPr>
          <w:rFonts w:hint="eastAsia" w:ascii="楷体" w:hAnsi="楷体" w:eastAsia="楷体" w:cs="宋体"/>
          <w:bCs/>
        </w:rPr>
        <w:t>类别：</w:t>
      </w:r>
      <w:r>
        <w:rPr>
          <w:rFonts w:hint="eastAsia" w:ascii="楷体" w:hAnsi="楷体" w:eastAsia="楷体" w:cs="仿宋_GB2312"/>
        </w:rPr>
        <w:t>分为</w:t>
      </w:r>
      <w:r>
        <w:rPr>
          <w:rFonts w:ascii="楷体" w:hAnsi="楷体" w:eastAsia="楷体"/>
        </w:rPr>
        <w:t>a、b</w:t>
      </w:r>
      <w:r>
        <w:rPr>
          <w:rFonts w:hint="eastAsia" w:ascii="楷体" w:hAnsi="楷体" w:eastAsia="楷体" w:cs="仿宋_GB2312"/>
        </w:rPr>
        <w:t>两类，</w:t>
      </w:r>
      <w:r>
        <w:rPr>
          <w:rFonts w:ascii="楷体" w:hAnsi="楷体" w:eastAsia="楷体"/>
        </w:rPr>
        <w:t>a</w:t>
      </w:r>
      <w:r>
        <w:rPr>
          <w:rFonts w:hint="eastAsia" w:ascii="楷体" w:hAnsi="楷体" w:eastAsia="楷体" w:cs="仿宋_GB2312"/>
        </w:rPr>
        <w:t>类课题指以示范中心人员为第一负责人的课题；</w:t>
      </w:r>
      <w:r>
        <w:rPr>
          <w:rFonts w:ascii="楷体" w:hAnsi="楷体" w:eastAsia="楷体"/>
        </w:rPr>
        <w:t>b</w:t>
      </w:r>
      <w:r>
        <w:rPr>
          <w:rFonts w:hint="eastAsia" w:ascii="楷体" w:hAnsi="楷体" w:eastAsia="楷体" w:cs="仿宋_GB2312"/>
        </w:rPr>
        <w:t>类课题指</w:t>
      </w:r>
      <w:r>
        <w:rPr>
          <w:rFonts w:hint="eastAsia" w:ascii="楷体" w:hAnsi="楷体" w:eastAsia="楷体"/>
        </w:rPr>
        <w:t>本示范中心协同其他单位研究的课题</w:t>
      </w:r>
      <w:r>
        <w:rPr>
          <w:rFonts w:hint="eastAsia" w:ascii="楷体" w:hAnsi="楷体" w:eastAsia="楷体" w:cs="仿宋_GB2312"/>
        </w:rPr>
        <w:t>。</w:t>
      </w:r>
    </w:p>
    <w:p>
      <w:pPr>
        <w:spacing w:before="163" w:beforeLines="50" w:after="163" w:afterLines="50"/>
        <w:ind w:firstLine="560" w:firstLineChars="200"/>
        <w:rPr>
          <w:rFonts w:ascii="黑体" w:hAnsi="黑体" w:eastAsia="黑体" w:cs="仿宋_GB2312"/>
          <w:bCs/>
          <w:sz w:val="28"/>
          <w:szCs w:val="28"/>
        </w:rPr>
      </w:pPr>
      <w:r>
        <w:rPr>
          <w:rFonts w:hint="eastAsia" w:ascii="黑体" w:hAnsi="黑体" w:eastAsia="黑体" w:cs="宋体"/>
          <w:sz w:val="28"/>
          <w:szCs w:val="28"/>
        </w:rPr>
        <w:t>（二）</w:t>
      </w:r>
      <w:r>
        <w:rPr>
          <w:rFonts w:hint="eastAsia" w:ascii="黑体" w:hAnsi="黑体" w:eastAsia="黑体" w:cs="仿宋_GB2312"/>
          <w:bCs/>
          <w:sz w:val="28"/>
          <w:szCs w:val="28"/>
        </w:rPr>
        <w:t>研究成果</w:t>
      </w:r>
    </w:p>
    <w:p>
      <w:pPr>
        <w:spacing w:before="163" w:beforeLines="50" w:after="163" w:afterLines="50"/>
        <w:ind w:firstLine="480" w:firstLineChars="200"/>
        <w:rPr>
          <w:rFonts w:ascii="黑体" w:hAnsi="黑体" w:eastAsia="黑体"/>
        </w:rPr>
      </w:pPr>
      <w:r>
        <w:rPr>
          <w:rFonts w:hint="eastAsia" w:ascii="黑体" w:hAnsi="黑体" w:eastAsia="黑体" w:cs="仿宋_GB2312"/>
        </w:rPr>
        <w:t>1.专利情况</w:t>
      </w:r>
    </w:p>
    <w:tbl>
      <w:tblPr>
        <w:tblStyle w:val="11"/>
        <w:tblW w:w="4873"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76"/>
        <w:gridCol w:w="1633"/>
        <w:gridCol w:w="2137"/>
        <w:gridCol w:w="1417"/>
        <w:gridCol w:w="1113"/>
        <w:gridCol w:w="811"/>
        <w:gridCol w:w="7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854" w:hRule="atLeast"/>
          <w:tblHeader/>
        </w:trPr>
        <w:tc>
          <w:tcPr>
            <w:tcW w:w="287"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983" w:type="pct"/>
            <w:vAlign w:val="center"/>
          </w:tcPr>
          <w:p>
            <w:pPr>
              <w:adjustRightInd w:val="0"/>
              <w:snapToGrid w:val="0"/>
              <w:jc w:val="center"/>
              <w:rPr>
                <w:rFonts w:ascii="黑体" w:hAnsi="黑体" w:eastAsia="黑体" w:cs="宋体"/>
              </w:rPr>
            </w:pPr>
            <w:r>
              <w:rPr>
                <w:rFonts w:hint="eastAsia" w:ascii="黑体" w:hAnsi="黑体" w:eastAsia="黑体" w:cs="宋体"/>
              </w:rPr>
              <w:t>专利名称</w:t>
            </w:r>
          </w:p>
        </w:tc>
        <w:tc>
          <w:tcPr>
            <w:tcW w:w="1286" w:type="pct"/>
            <w:vAlign w:val="center"/>
          </w:tcPr>
          <w:p>
            <w:pPr>
              <w:adjustRightInd w:val="0"/>
              <w:snapToGrid w:val="0"/>
              <w:jc w:val="center"/>
              <w:rPr>
                <w:rFonts w:ascii="黑体" w:hAnsi="黑体" w:eastAsia="黑体" w:cs="宋体"/>
              </w:rPr>
            </w:pPr>
            <w:r>
              <w:rPr>
                <w:rFonts w:hint="eastAsia" w:ascii="黑体" w:hAnsi="黑体" w:eastAsia="黑体" w:cs="宋体"/>
              </w:rPr>
              <w:t>专利授权号</w:t>
            </w:r>
          </w:p>
        </w:tc>
        <w:tc>
          <w:tcPr>
            <w:tcW w:w="853" w:type="pct"/>
            <w:vAlign w:val="center"/>
          </w:tcPr>
          <w:p>
            <w:pPr>
              <w:adjustRightInd w:val="0"/>
              <w:snapToGrid w:val="0"/>
              <w:jc w:val="center"/>
              <w:rPr>
                <w:rFonts w:ascii="黑体" w:hAnsi="黑体" w:eastAsia="黑体" w:cs="宋体"/>
              </w:rPr>
            </w:pPr>
            <w:r>
              <w:rPr>
                <w:rFonts w:hint="eastAsia" w:ascii="黑体" w:hAnsi="黑体" w:eastAsia="黑体" w:cs="宋体"/>
              </w:rPr>
              <w:t>获准国别</w:t>
            </w:r>
          </w:p>
        </w:tc>
        <w:tc>
          <w:tcPr>
            <w:tcW w:w="670" w:type="pct"/>
            <w:vAlign w:val="center"/>
          </w:tcPr>
          <w:p>
            <w:pPr>
              <w:adjustRightInd w:val="0"/>
              <w:snapToGrid w:val="0"/>
              <w:jc w:val="center"/>
              <w:rPr>
                <w:rFonts w:ascii="黑体" w:hAnsi="黑体" w:eastAsia="黑体" w:cs="宋体"/>
              </w:rPr>
            </w:pPr>
            <w:r>
              <w:rPr>
                <w:rFonts w:hint="eastAsia" w:ascii="黑体" w:hAnsi="黑体" w:eastAsia="黑体" w:cs="宋体"/>
              </w:rPr>
              <w:t>完成人</w:t>
            </w:r>
          </w:p>
        </w:tc>
        <w:tc>
          <w:tcPr>
            <w:tcW w:w="488" w:type="pct"/>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29" w:type="pct"/>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61"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1</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一种基于深度学习模型的超声图像处理方法及装置</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ZL202111245725.3</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李明磊</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发明专利</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215"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2</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一种计算机网络控制器升降装置</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ZL202122018019.7</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石黎</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实用新型</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888"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3</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任意二维与三维传感器网络拓扑带约束的节点线性化方法</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ZL201910339060.9</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刘文平</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发明专利</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4</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一种老年人用智能自助服务终端机</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ZL202123175536.1</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周蓉</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实用新型</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5</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一种基于网络编码的移动金融支付数据的快速传输方法</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ZL201811321388.X</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宋莺</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发明专利</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9"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6</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一种犯罪事件智能预测的大数据方法及装置</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ZL201810918074.1</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张耀峰</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发明专利</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7</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流域案件特征信息挖掘系统及设备</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ZL202110492353.8</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邱秋</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发明专利</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29" w:hRule="atLeast"/>
        </w:trPr>
        <w:tc>
          <w:tcPr>
            <w:tcW w:w="287" w:type="pct"/>
            <w:vAlign w:val="center"/>
          </w:tcPr>
          <w:p>
            <w:pPr>
              <w:widowControl/>
              <w:jc w:val="center"/>
              <w:textAlignment w:val="center"/>
              <w:rPr>
                <w:rFonts w:ascii="楷体" w:hAnsi="楷体" w:eastAsia="楷体"/>
              </w:rPr>
            </w:pPr>
            <w:r>
              <w:rPr>
                <w:rFonts w:hint="eastAsia" w:ascii="楷体" w:hAnsi="楷体" w:eastAsia="楷体" w:cs="楷体"/>
                <w:color w:val="000000"/>
                <w:kern w:val="0"/>
              </w:rPr>
              <w:t>8</w:t>
            </w:r>
          </w:p>
        </w:tc>
        <w:tc>
          <w:tcPr>
            <w:tcW w:w="98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一种基于深度学习模型的卵泡检测方法及装置</w:t>
            </w:r>
          </w:p>
        </w:tc>
        <w:tc>
          <w:tcPr>
            <w:tcW w:w="1286"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ZL202210850786.0</w:t>
            </w:r>
          </w:p>
        </w:tc>
        <w:tc>
          <w:tcPr>
            <w:tcW w:w="853"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中国</w:t>
            </w:r>
          </w:p>
        </w:tc>
        <w:tc>
          <w:tcPr>
            <w:tcW w:w="670"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李明磊</w:t>
            </w:r>
          </w:p>
        </w:tc>
        <w:tc>
          <w:tcPr>
            <w:tcW w:w="488"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发明专利</w:t>
            </w:r>
          </w:p>
        </w:tc>
        <w:tc>
          <w:tcPr>
            <w:tcW w:w="429" w:type="pct"/>
            <w:vAlign w:val="center"/>
          </w:tcPr>
          <w:p>
            <w:pPr>
              <w:widowControl/>
              <w:jc w:val="center"/>
              <w:textAlignment w:val="center"/>
              <w:rPr>
                <w:rFonts w:ascii="仿宋" w:hAnsi="仿宋" w:eastAsia="仿宋"/>
                <w:sz w:val="28"/>
                <w:szCs w:val="28"/>
              </w:rPr>
            </w:pPr>
            <w:r>
              <w:rPr>
                <w:rFonts w:hint="eastAsia" w:ascii="楷体" w:hAnsi="楷体" w:eastAsia="楷体" w:cs="楷体"/>
                <w:color w:val="000000"/>
                <w:kern w:val="0"/>
              </w:rPr>
              <w:t>独立完成</w:t>
            </w:r>
          </w:p>
        </w:tc>
      </w:tr>
    </w:tbl>
    <w:p>
      <w:pPr>
        <w:spacing w:before="163" w:beforeLines="50"/>
        <w:ind w:firstLine="480" w:firstLineChars="200"/>
        <w:rPr>
          <w:rFonts w:ascii="楷体" w:hAnsi="楷体" w:eastAsia="楷体" w:cs="仿宋_GB2312"/>
        </w:rPr>
      </w:pPr>
      <w:r>
        <w:rPr>
          <w:rFonts w:hint="eastAsia" w:ascii="楷体" w:hAnsi="楷体" w:eastAsia="楷体" w:cs="仿宋_GB2312"/>
        </w:rPr>
        <w:t>注：（1）国内外同内容的专利不得重复统计。（2）</w:t>
      </w:r>
      <w:r>
        <w:rPr>
          <w:rFonts w:hint="eastAsia" w:ascii="楷体" w:hAnsi="楷体" w:eastAsia="楷体" w:cs="仿宋_GB2312"/>
          <w:bCs/>
        </w:rPr>
        <w:t>专利：</w:t>
      </w:r>
      <w:r>
        <w:rPr>
          <w:rFonts w:hint="eastAsia" w:ascii="楷体" w:hAnsi="楷体" w:eastAsia="楷体" w:cs="仿宋_GB2312"/>
        </w:rPr>
        <w:t>批准的发明专利，以证书为准。（3）</w:t>
      </w:r>
      <w:r>
        <w:rPr>
          <w:rFonts w:hint="eastAsia" w:ascii="楷体" w:hAnsi="楷体" w:eastAsia="楷体" w:cs="宋体"/>
          <w:bCs/>
        </w:rPr>
        <w:t>完成人：</w:t>
      </w:r>
      <w:r>
        <w:rPr>
          <w:rFonts w:ascii="楷体" w:hAnsi="楷体" w:eastAsia="楷体" w:cs="仿宋_GB2312"/>
        </w:rPr>
        <w:t>必须是</w:t>
      </w:r>
      <w:r>
        <w:rPr>
          <w:rFonts w:hint="eastAsia" w:ascii="楷体" w:hAnsi="楷体" w:eastAsia="楷体" w:cs="仿宋_GB2312"/>
        </w:rPr>
        <w:t>示范</w:t>
      </w:r>
      <w:r>
        <w:rPr>
          <w:rFonts w:ascii="楷体" w:hAnsi="楷体" w:eastAsia="楷体" w:cs="仿宋_GB2312"/>
        </w:rPr>
        <w:t>中心</w:t>
      </w:r>
      <w:r>
        <w:rPr>
          <w:rFonts w:hint="eastAsia" w:ascii="楷体" w:hAnsi="楷体" w:eastAsia="楷体" w:cs="仿宋_GB2312"/>
        </w:rPr>
        <w:t>人员（含固定人员和流动人员），多个中心完成人只需填写靠前的一位，排名在类别中体现</w:t>
      </w:r>
      <w:r>
        <w:rPr>
          <w:rFonts w:ascii="楷体" w:hAnsi="楷体" w:eastAsia="楷体" w:cs="仿宋_GB2312"/>
        </w:rPr>
        <w:t>。</w:t>
      </w:r>
      <w:r>
        <w:rPr>
          <w:rFonts w:hint="eastAsia" w:ascii="楷体" w:hAnsi="楷体" w:eastAsia="楷体" w:cs="仿宋_GB2312"/>
        </w:rPr>
        <w:t>（4）</w:t>
      </w:r>
      <w:r>
        <w:rPr>
          <w:rFonts w:hint="eastAsia" w:ascii="楷体" w:hAnsi="楷体" w:eastAsia="楷体" w:cs="宋体"/>
          <w:bCs/>
        </w:rPr>
        <w:t>类型：</w:t>
      </w:r>
      <w:r>
        <w:rPr>
          <w:rFonts w:hint="eastAsia" w:ascii="楷体" w:hAnsi="楷体" w:eastAsia="楷体" w:cs="宋体"/>
        </w:rPr>
        <w:t>其他等同于</w:t>
      </w:r>
      <w:r>
        <w:rPr>
          <w:rFonts w:hint="eastAsia" w:ascii="楷体" w:hAnsi="楷体" w:eastAsia="楷体" w:cs="仿宋_GB2312"/>
        </w:rPr>
        <w:t>发明专利的成果，如新药、软件、标准、规范等，在类型栏中标明。（5）</w:t>
      </w:r>
      <w:r>
        <w:rPr>
          <w:rFonts w:hint="eastAsia" w:ascii="楷体" w:hAnsi="楷体" w:eastAsia="楷体" w:cs="宋体"/>
          <w:bCs/>
        </w:rPr>
        <w:t>类别：</w:t>
      </w:r>
      <w:r>
        <w:rPr>
          <w:rFonts w:hint="eastAsia" w:ascii="楷体" w:hAnsi="楷体" w:eastAsia="楷体" w:cs="宋体"/>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pPr>
        <w:spacing w:before="163" w:beforeLines="50"/>
        <w:ind w:firstLine="480" w:firstLineChars="200"/>
        <w:outlineLvl w:val="0"/>
        <w:rPr>
          <w:rFonts w:ascii="黑体" w:hAnsi="黑体" w:eastAsia="黑体" w:cs="仿宋_GB2312"/>
        </w:rPr>
      </w:pPr>
      <w:r>
        <w:rPr>
          <w:rFonts w:hint="eastAsia" w:ascii="黑体" w:hAnsi="黑体" w:eastAsia="黑体" w:cs="仿宋_GB2312"/>
        </w:rPr>
        <w:t>2.发表论文、专著情况</w:t>
      </w:r>
    </w:p>
    <w:tbl>
      <w:tblPr>
        <w:tblStyle w:val="11"/>
        <w:tblW w:w="4875"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2832"/>
        <w:gridCol w:w="820"/>
        <w:gridCol w:w="1186"/>
        <w:gridCol w:w="1402"/>
        <w:gridCol w:w="722"/>
        <w:gridCol w:w="7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1" w:hRule="atLeast"/>
          <w:tblHeader/>
        </w:trPr>
        <w:tc>
          <w:tcPr>
            <w:tcW w:w="375"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1704" w:type="pct"/>
            <w:vAlign w:val="center"/>
          </w:tcPr>
          <w:p>
            <w:pPr>
              <w:adjustRightInd w:val="0"/>
              <w:snapToGrid w:val="0"/>
              <w:jc w:val="center"/>
              <w:rPr>
                <w:rFonts w:ascii="黑体" w:hAnsi="黑体" w:eastAsia="黑体" w:cs="宋体"/>
              </w:rPr>
            </w:pPr>
            <w:r>
              <w:rPr>
                <w:rFonts w:hint="eastAsia" w:ascii="黑体" w:hAnsi="黑体" w:eastAsia="黑体" w:cs="宋体"/>
              </w:rPr>
              <w:t>论文或</w:t>
            </w:r>
          </w:p>
          <w:p>
            <w:pPr>
              <w:adjustRightInd w:val="0"/>
              <w:snapToGrid w:val="0"/>
              <w:jc w:val="center"/>
              <w:rPr>
                <w:rFonts w:ascii="黑体" w:hAnsi="黑体" w:eastAsia="黑体" w:cs="宋体"/>
              </w:rPr>
            </w:pPr>
            <w:r>
              <w:rPr>
                <w:rFonts w:hint="eastAsia" w:ascii="黑体" w:hAnsi="黑体" w:eastAsia="黑体" w:cs="宋体"/>
              </w:rPr>
              <w:t>专著名称</w:t>
            </w:r>
          </w:p>
        </w:tc>
        <w:tc>
          <w:tcPr>
            <w:tcW w:w="494" w:type="pct"/>
            <w:vAlign w:val="center"/>
          </w:tcPr>
          <w:p>
            <w:pPr>
              <w:adjustRightInd w:val="0"/>
              <w:snapToGrid w:val="0"/>
              <w:jc w:val="center"/>
              <w:rPr>
                <w:rFonts w:ascii="黑体" w:hAnsi="黑体" w:eastAsia="黑体" w:cs="宋体"/>
              </w:rPr>
            </w:pPr>
            <w:r>
              <w:rPr>
                <w:rFonts w:hint="eastAsia" w:ascii="黑体" w:hAnsi="黑体" w:eastAsia="黑体" w:cs="宋体"/>
              </w:rPr>
              <w:t>作者</w:t>
            </w:r>
          </w:p>
        </w:tc>
        <w:tc>
          <w:tcPr>
            <w:tcW w:w="714" w:type="pct"/>
            <w:vAlign w:val="center"/>
          </w:tcPr>
          <w:p>
            <w:pPr>
              <w:adjustRightInd w:val="0"/>
              <w:snapToGrid w:val="0"/>
              <w:jc w:val="center"/>
              <w:rPr>
                <w:rFonts w:ascii="黑体" w:hAnsi="黑体" w:eastAsia="黑体" w:cs="宋体"/>
              </w:rPr>
            </w:pPr>
            <w:r>
              <w:rPr>
                <w:rFonts w:hint="eastAsia" w:ascii="黑体" w:hAnsi="黑体" w:eastAsia="黑体" w:cs="宋体"/>
              </w:rPr>
              <w:t>刊物、出版社名称</w:t>
            </w:r>
          </w:p>
        </w:tc>
        <w:tc>
          <w:tcPr>
            <w:tcW w:w="843" w:type="pct"/>
            <w:vAlign w:val="center"/>
          </w:tcPr>
          <w:p>
            <w:pPr>
              <w:adjustRightInd w:val="0"/>
              <w:snapToGrid w:val="0"/>
              <w:jc w:val="center"/>
              <w:rPr>
                <w:rFonts w:ascii="黑体" w:hAnsi="黑体" w:eastAsia="黑体" w:cs="宋体"/>
              </w:rPr>
            </w:pPr>
            <w:r>
              <w:rPr>
                <w:rFonts w:hint="eastAsia" w:ascii="黑体" w:hAnsi="黑体" w:eastAsia="黑体" w:cs="宋体"/>
              </w:rPr>
              <w:t>卷、期</w:t>
            </w:r>
          </w:p>
          <w:p>
            <w:pPr>
              <w:adjustRightInd w:val="0"/>
              <w:snapToGrid w:val="0"/>
              <w:jc w:val="center"/>
              <w:rPr>
                <w:rFonts w:ascii="黑体" w:hAnsi="黑体" w:eastAsia="黑体" w:cs="宋体"/>
              </w:rPr>
            </w:pPr>
            <w:r>
              <w:rPr>
                <w:rFonts w:hint="eastAsia" w:ascii="黑体" w:hAnsi="黑体" w:eastAsia="黑体" w:cs="宋体"/>
              </w:rPr>
              <w:t>（或章节）、页</w:t>
            </w:r>
          </w:p>
        </w:tc>
        <w:tc>
          <w:tcPr>
            <w:tcW w:w="435" w:type="pct"/>
            <w:vAlign w:val="center"/>
          </w:tcPr>
          <w:p>
            <w:pPr>
              <w:adjustRightInd w:val="0"/>
              <w:snapToGrid w:val="0"/>
              <w:jc w:val="center"/>
              <w:rPr>
                <w:rFonts w:ascii="黑体" w:hAnsi="黑体" w:eastAsia="黑体" w:cs="宋体"/>
              </w:rPr>
            </w:pPr>
            <w:r>
              <w:rPr>
                <w:rFonts w:hint="eastAsia" w:ascii="黑体" w:hAnsi="黑体" w:eastAsia="黑体" w:cs="宋体"/>
              </w:rPr>
              <w:t>类型</w:t>
            </w:r>
          </w:p>
        </w:tc>
        <w:tc>
          <w:tcPr>
            <w:tcW w:w="432" w:type="pct"/>
            <w:vAlign w:val="center"/>
          </w:tcPr>
          <w:p>
            <w:pPr>
              <w:adjustRightInd w:val="0"/>
              <w:snapToGrid w:val="0"/>
              <w:jc w:val="center"/>
              <w:rPr>
                <w:rFonts w:ascii="黑体" w:hAnsi="黑体" w:eastAsia="黑体" w:cs="宋体"/>
              </w:rPr>
            </w:pPr>
            <w:r>
              <w:rPr>
                <w:rFonts w:hint="eastAsia" w:ascii="黑体" w:hAnsi="黑体" w:eastAsia="黑体" w:cs="宋体"/>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32"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Household carbon footprints inequality in China: Drivers, components and dynamics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王珂英</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Energy Economics</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115: 106334.</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3"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Assessing the effects of emissions trading systems on energy consumption and energy mix</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黄锦鹏</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Applied Energy</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310: 118583.</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Person Tracking by Detection Using Dual Visible-Infrared Cameras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刘文平</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IEEE Internet of Things Journal</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9(22): 23241-23251.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Interpretable wind speed prediction with multivariate time series and temporal fusion transformers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曾宇容</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Energy</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252: 123990.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Does the agglomeration of urban producer services promote carbon efficiency of manufacturing industry?</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刘习平</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Land Use Policy</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120: 106264.</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Adult Children’s Education and Older Parents’ Chronic Illnesses in Aging China</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刘亚飞</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Demography</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59(2): 535-562</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Distribution Path Optimization for Intelligent Logistics Vehicles of Urban Rail Transportation Using VRP Optimization Model</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冷凯君</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IEEE Transactions on Intelligent Transportation Systems</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2021, 23(2): 1661-1669.</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8</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Robust optimal energy management of data center equipped with multi-energy conversion technologies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田倩南</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Journal of Cleaner Production</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2021, 329: 129616.</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9</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Does emission trading system achieve the win-win of carbon emission reduction and financial performance improvement? —Evidence from Chinese A-share listed firms in industrial sector</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孙永平</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Journal of Cleaner Production</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333: 130121.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10</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The effects of environmental degradation on agriculture: Evidence from European countries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谈多娇</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Gondwana Research</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106: 92-104.</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11</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Energy efficiency and sustainable development goals</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谈多娇</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Energy</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239: 122365.</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12</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An improved column generation algorithm for the disrupted flight recovery  problem with discrete flight duration control and aircraft  assignment constraints</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田倩南</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Computers ＆ Industrial Engineering</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174: 108772.</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13</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Research on Social Integration Structure and Path of Floating Population Based on Structural Equation Model: Evidence from China</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夏伦</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Social Indicators Research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2023, 165(2): 607-632.</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14</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Multigrained Angle Representation for Remote-Sensing Object Detection</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宋莺</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IEEE Transactions on Geoscience and Remote Sensing</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60: 1-13.</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15</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Analysis of social governance in energy-oriented cities based on artificial intelligence</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嵇雷</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Energy Reports</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8: 11151-11160.</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16</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Government regulation on corporate compensation and innovation: Evidence from China＇s minimum wage policy</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吕伶俐</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Finance Research Letters</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50: 103272.</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17</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Unraveling land system vulnerability to rapid urbanization: an indicator- based vulnerability assessment for Wuhan, China</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李湘梅</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Environmental Research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211: 112981.</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18</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Detecting the content of the bright blue pigment in cream based on deep learning  and near-infrared spectroscopy</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谭正林</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Spectrochimica acta. Part A, Molecular and biomolecular spectroscopy</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270: 120757.</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19</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Blockchain-Based BIM Digital Project Management Mechanism Research</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倪燕翎</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IEEE Access</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2021, 9: 161342-161351.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China’s Accession to the WTO as a Shock to Residents’ Health—A Difference-in-Difference Approach</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孙一平</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International Journal of Environmental Research and Public Health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19(22): 14728.</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21</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Dynamic changes and regional differences of net carbon sequestration of food crops in the Yangtze River Economic Belt of China</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李湘梅</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International Journal of Environmental Research and Public Health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19(20): 13229.</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74"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22</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Spatial-temporal evolution of industrial land transformation effect in eastern China</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戴德艺</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Frontiers in Environmental Science</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10: 975510.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0"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23</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Exploring institutional pressure, the top management team＇s response, green innovation adoption, and firm performance: evidence from Taiwan＇s electrical and electronics industry</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黄志璿</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European Journal of Innovation Management</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(ahead-of-print).</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24</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Analysis of Influencing Factors of Urban Community Function Loss in China under Flood Disaster Based on Social Network Analysis Model</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黄小舟</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Internantional Journal of Environmental Research and Public Health,2022,19,11094</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19(17): 11094.</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25</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Employing an Effective Robust Optimization Approach for Cooperative Covering Facility Location Problem under Demand Uncertainty</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刘慧</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Axioms</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11(9): 433.</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26</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Are Farmers in National Park Communities Willing to Reallocate Their Lands? A Situational Analysis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高燕</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International Journal of Environmental Research and Public Health</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19(14): 8589.</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27</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An electronic transition-based bare bones particle swarm optimization algorithm for high dimensional optimization problems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田浩</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PLOS ONE</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17(7): e0271925.</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28</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Examining the antecedents and consequences of sustainable green supply chain management from the perspective of ecological modernization: evidence from Taiwan’s high-tech sector</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黄志璿</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Journal of Environmental Planning and Management</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65(9): 1579-1610.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29</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Research on Multi-Dimensional Trust Evaluation Mechanism of FinTech Based on Blockchain</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宋莺</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IEEE ACCESS</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10: 57025-57036.</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30</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Does Mobile Internet Use Affect the Loneliness of Older Chinese Adults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郭增花</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Environmental Research and Public Health</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19(9): 5575.</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31</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Does Mobile Internet Use Affect the Depression of Young Chinese Adults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郭增花</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Environmental Research and Public Health</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19(8): 4473.</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32</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Does Renewable Energy Matter to Achieve Sustainable Development Goals? The Impact of Renewable Energy Strategies on Sustainable Economic Growth</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苏帆</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Frontiers in Energy Research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10: 829252.</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33</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Does Air Pollution Affect Prosocial Behavior?</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郭增花</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Frontiers in Psychology</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2022, 13.</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34</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Research on Green Finance and Green Development Based Eco-Efficiency and Spatial Econometric Analysis</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叶提芳</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Sustainability</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14(5): 2825.</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35</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Does Trade Policy Uncertainty Exacerbates Environmental Pollution?——Evidence from Chinese Cities</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孙一平</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International Journal of Environmental Research and Public Health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19(4): 2150.</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36</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Does technology innovation reduce haze pollution? An empirical  study based on?urban innovation index in China</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陶东杰</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Environmental Science and Pollution Research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29(16): 24063-24076.</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37</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Role of alternative and nuclear energy in stimulating environmental sustainability: impact of government expenditures</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谈多娇</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Environmental Science and Pollution,</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29(25): 37894-37905.</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70"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38</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Research on Energy-Related CO2 Emissions Characteristics, Decoupling Relationship and LMDI Factor Decomposition in Qinghai</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黄璨</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frontiers in energy research</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2021, 9: 700385.</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39</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A Nonseparable Undesirable Output Modified Three-stage Data Envelopment Analysis Application for Evaluation of Agricultural Green Total Factor Productivity in China</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李杏</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Science of the Total Environment</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2022, 838: 155947.</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40</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The Characteristics of Local Government Debt Governance：Evidence from Qualitative and Social Network Analysis of Chinese Policy Texts</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李杏</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Economic Research-Ekonomska Istrazivanja</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35(1): 6037-6066.</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41</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Several Explorations on How to Construct an Early Warning System for Local Government Debt Risk in China</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李杏</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PLOS ONE</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17(2): e0263391.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42</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Impact of Urbanization on Ecosystem Services Balance in the Han River Ecological Economic Belt, China: A Multi-Scale Perspective</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李伟松</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International Journal of Environmental Research and Public Health</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19(21): 14304.</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43</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Spatially Non-Stationary Response of Carbon Emissions to Urbanization in Han River Ecological Economic Belt, China</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李伟松</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International Journal of Environmental Research and Public Health</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 20(1): 363.</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SSCI</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44</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突发疫情环境下考虑订单释放时间的零售物流配送路径优化研究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田倩南</w:t>
            </w:r>
          </w:p>
        </w:tc>
        <w:tc>
          <w:tcPr>
            <w:tcW w:w="714" w:type="pct"/>
            <w:vAlign w:val="center"/>
          </w:tcPr>
          <w:p>
            <w:pPr>
              <w:widowControl/>
              <w:jc w:val="center"/>
              <w:textAlignment w:val="center"/>
              <w:rPr>
                <w:rFonts w:ascii="楷体" w:hAnsi="楷体" w:eastAsia="楷体" w:cs="楷体"/>
                <w:color w:val="000000"/>
                <w:kern w:val="0"/>
                <w:sz w:val="18"/>
                <w:szCs w:val="18"/>
              </w:rPr>
            </w:pPr>
            <w:r>
              <w:rPr>
                <w:rFonts w:hint="eastAsia" w:ascii="楷体" w:hAnsi="楷体" w:eastAsia="楷体" w:cs="楷体"/>
                <w:color w:val="000000"/>
                <w:kern w:val="0"/>
                <w:sz w:val="18"/>
                <w:szCs w:val="18"/>
              </w:rPr>
              <w:t>中国管理</w:t>
            </w:r>
          </w:p>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科学</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30卷09期第195-205页</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45</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创新要素投入偏向:机制、测度及其效应研究——研发劳动力与研发资本之比合理吗</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张冕</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数理统计与管理</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41卷05期第883-898页</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46</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民法典第76条“其他企业法人”的规范解释与制度续造</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黎桦</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西南民族大学学报（人文社科版）</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43卷10期第78-85页</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47</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劳动力流转与企业对外直接投资</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李方静</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世界经济研究</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09期第94-108+137</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48</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特别法人制度的法律构造研究—以《民法典》第96-101条为分析对象</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黎桦</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法商研究</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39卷04期第146-158页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49</w:t>
            </w:r>
          </w:p>
        </w:tc>
        <w:tc>
          <w:tcPr>
            <w:tcW w:w="1704" w:type="pct"/>
            <w:vAlign w:val="center"/>
          </w:tcPr>
          <w:p>
            <w:pPr>
              <w:widowControl/>
              <w:spacing w:line="300" w:lineRule="exact"/>
              <w:jc w:val="center"/>
              <w:textAlignment w:val="center"/>
              <w:rPr>
                <w:rFonts w:ascii="楷体" w:hAnsi="楷体" w:eastAsia="楷体" w:cs="楷体"/>
                <w:color w:val="000000"/>
                <w:kern w:val="0"/>
                <w:sz w:val="18"/>
                <w:szCs w:val="18"/>
              </w:rPr>
            </w:pPr>
            <w:r>
              <w:rPr>
                <w:rFonts w:hint="eastAsia" w:ascii="楷体" w:hAnsi="楷体" w:eastAsia="楷体" w:cs="楷体"/>
                <w:color w:val="000000"/>
                <w:kern w:val="0"/>
                <w:sz w:val="18"/>
                <w:szCs w:val="18"/>
              </w:rPr>
              <w:t>信息时空感知下的社会焦虑与</w:t>
            </w:r>
          </w:p>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幸福</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郭增花</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西南民族大学学报(人文社会科学版)</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43卷04期第213-220页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50</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银行业竞争与企业金融资产配置结构异质性</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戴静</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管理评论</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34卷01期第69-78页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51</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基于修正IPA分析的区域滑雪场服务质量关键性问题研究</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李燕燕</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武汉体育学院学报</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56卷12期第58-65页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52</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新能源示范城市建设对绿色全要素生产率的影响研究</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孙一平</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宏观经济研究</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11期第134-146页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53</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金融科技对企业投资效率的影响研究</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苏帆</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金融论坛</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27卷11期第21-31页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8"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54</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投资者情绪的测量及其对股市波动率的影响效应研究</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卢米雪</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宏观经济研究</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09期第106-119页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55</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城市住宅适老化改造对居家老年人健康的影响——基于分层线性模型的分析</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袁妙彧</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城市问题</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08期第73-82页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7"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56</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混合所有制改革与国有企业创新：基于质与量双重视角的考察</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李井林</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经济社会体制比较</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04期第78-90页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7"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57</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基于双链区块链的制造服务集成平台框架</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毕娅</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计算机集成制造系统</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28卷04期第1177-1187页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70"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58</w:t>
            </w:r>
          </w:p>
        </w:tc>
        <w:tc>
          <w:tcPr>
            <w:tcW w:w="170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流动人口真的融入社会了吗?——基于结构方程模型的流动人口社会融入研究</w:t>
            </w:r>
          </w:p>
        </w:tc>
        <w:tc>
          <w:tcPr>
            <w:tcW w:w="49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夏伦</w:t>
            </w:r>
          </w:p>
        </w:tc>
        <w:tc>
          <w:tcPr>
            <w:tcW w:w="714"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人口与发展</w:t>
            </w:r>
          </w:p>
        </w:tc>
        <w:tc>
          <w:tcPr>
            <w:tcW w:w="843"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28卷02期第138-151页</w:t>
            </w:r>
          </w:p>
        </w:tc>
        <w:tc>
          <w:tcPr>
            <w:tcW w:w="435"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spacing w:line="300" w:lineRule="exact"/>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59</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基于混合果蝇优化算法的选址-库存-配送集成优化研究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曾宇容</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运筹与管理</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31卷03期第24-30页</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60</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我国成品油消费税职能作用优化探析</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林颖</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税务研究</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03期第100-106页</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61</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“双万计划”提升高校人才培养质量了吗？——基于财经类高校微观证据的断点回归分析</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刘晓凤</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国家教育行政学院学报</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01期第75-83页</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北大核心</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62</w:t>
            </w:r>
          </w:p>
        </w:tc>
        <w:tc>
          <w:tcPr>
            <w:tcW w:w="1704" w:type="pct"/>
            <w:vAlign w:val="center"/>
          </w:tcPr>
          <w:p>
            <w:pPr>
              <w:widowControl/>
              <w:jc w:val="center"/>
              <w:textAlignment w:val="center"/>
              <w:rPr>
                <w:rFonts w:ascii="楷体" w:hAnsi="楷体" w:eastAsia="楷体" w:cs="楷体"/>
                <w:color w:val="000000"/>
                <w:kern w:val="0"/>
                <w:sz w:val="18"/>
                <w:szCs w:val="18"/>
              </w:rPr>
            </w:pPr>
            <w:r>
              <w:rPr>
                <w:rFonts w:hint="eastAsia" w:ascii="楷体" w:hAnsi="楷体" w:eastAsia="楷体" w:cs="楷体"/>
                <w:color w:val="000000"/>
                <w:kern w:val="0"/>
                <w:sz w:val="18"/>
                <w:szCs w:val="18"/>
              </w:rPr>
              <w:t>中国特色家庭农场嵌入式发展</w:t>
            </w:r>
          </w:p>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管珊</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经济科学出版社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2022-12-31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63</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精准扶贫背景下政府补贴对偏远地区企业绩效影响研究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曾义</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经济科学出版社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2022-12-31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64</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机器学习典型技术在金融风险研究领域中的应用</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田浩</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中国金融出版社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2022-12-31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65</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养老保险购买问题研究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李毅</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中国金融出版社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2022-12-30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66</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社会网络、技术创新和湖北产业集群研究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严飞</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中国商业出版社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2022-11-11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67</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武汉区域金融中心建设创新路径研究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许传华</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中国金融出版社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2022-11-01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68</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新时代我国国际经济贸易战略选择与发展趋势研究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廖靓</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吉林出版集团股份有限公司</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2022-08-06</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9"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69</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组织中员工主动担责的形成机制研究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程志辉</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九州出版社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2022-08-01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4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70</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政府选择性激励机制下基于公共服务平台的应急资源集成配置管理模式创新</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毕娅</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中国财政经济出版社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2022-07-19</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71</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社会保险税费征管体制改革研究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严妮</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九州出版社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2022-07-10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9"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72</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中国生产性服务业集聚对制造业碳排放效率的影响</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刘习平</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知识产权出版社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2022-06-30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9"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73</w:t>
            </w:r>
          </w:p>
        </w:tc>
        <w:tc>
          <w:tcPr>
            <w:tcW w:w="1704" w:type="pct"/>
            <w:vAlign w:val="center"/>
          </w:tcPr>
          <w:p>
            <w:pPr>
              <w:widowControl/>
              <w:jc w:val="center"/>
              <w:textAlignment w:val="center"/>
              <w:rPr>
                <w:rFonts w:ascii="楷体" w:hAnsi="楷体" w:eastAsia="楷体" w:cs="楷体"/>
                <w:color w:val="000000"/>
                <w:kern w:val="0"/>
                <w:sz w:val="18"/>
                <w:szCs w:val="18"/>
              </w:rPr>
            </w:pPr>
            <w:r>
              <w:rPr>
                <w:rFonts w:hint="eastAsia" w:ascii="楷体" w:hAnsi="楷体" w:eastAsia="楷体" w:cs="楷体"/>
                <w:color w:val="000000"/>
                <w:kern w:val="0"/>
                <w:sz w:val="18"/>
                <w:szCs w:val="18"/>
              </w:rPr>
              <w:t>金融理财师培养路径的探索与</w:t>
            </w:r>
          </w:p>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实践</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许传华</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湖北人民出版社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2022-05-01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74</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自然资源丰裕经济学</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孙永平</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人民出版社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2022-05-01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75</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现代化背景下高校智慧体育服务创新发展研究</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李燕燕</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吉林出版集团股份有限公司</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2022-04-20</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76</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生态法治：生态文明建设的保障</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邱秋</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云南出版集团公司云南教育出版社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2022-02-01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7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77</w:t>
            </w:r>
          </w:p>
        </w:tc>
        <w:tc>
          <w:tcPr>
            <w:tcW w:w="170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基于深度学习与遥感的滑坡灾情分析及社会化应急资源共享</w:t>
            </w:r>
          </w:p>
        </w:tc>
        <w:tc>
          <w:tcPr>
            <w:tcW w:w="49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崔文琦</w:t>
            </w:r>
          </w:p>
        </w:tc>
        <w:tc>
          <w:tcPr>
            <w:tcW w:w="714"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武汉理工大学出版社</w:t>
            </w:r>
          </w:p>
        </w:tc>
        <w:tc>
          <w:tcPr>
            <w:tcW w:w="843"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2022-01-31</w:t>
            </w:r>
          </w:p>
        </w:tc>
        <w:tc>
          <w:tcPr>
            <w:tcW w:w="435"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中文专著</w:t>
            </w:r>
          </w:p>
        </w:tc>
        <w:tc>
          <w:tcPr>
            <w:tcW w:w="432" w:type="pct"/>
            <w:vAlign w:val="center"/>
          </w:tcPr>
          <w:p>
            <w:pPr>
              <w:widowControl/>
              <w:jc w:val="center"/>
              <w:textAlignment w:val="center"/>
              <w:rPr>
                <w:rFonts w:ascii="楷体" w:hAnsi="楷体" w:eastAsia="楷体"/>
                <w:sz w:val="18"/>
                <w:szCs w:val="18"/>
              </w:rPr>
            </w:pPr>
            <w:r>
              <w:rPr>
                <w:rFonts w:hint="eastAsia" w:ascii="楷体" w:hAnsi="楷体" w:eastAsia="楷体" w:cs="楷体"/>
                <w:color w:val="000000"/>
                <w:kern w:val="0"/>
                <w:sz w:val="18"/>
                <w:szCs w:val="18"/>
              </w:rPr>
              <w:t>独立完成</w:t>
            </w:r>
          </w:p>
        </w:tc>
      </w:tr>
    </w:tbl>
    <w:p>
      <w:pPr>
        <w:spacing w:before="163" w:beforeLines="50"/>
        <w:ind w:firstLine="480" w:firstLineChars="200"/>
        <w:rPr>
          <w:rFonts w:ascii="楷体" w:hAnsi="楷体" w:eastAsia="楷体" w:cs="仿宋_GB2312"/>
        </w:rPr>
      </w:pPr>
      <w:r>
        <w:rPr>
          <w:rFonts w:hint="eastAsia" w:ascii="楷体" w:hAnsi="楷体" w:eastAsia="楷体"/>
          <w:bCs/>
        </w:rPr>
        <w:t>注</w:t>
      </w:r>
      <w:r>
        <w:rPr>
          <w:rFonts w:hint="eastAsia" w:ascii="楷体" w:hAnsi="楷体" w:eastAsia="楷体" w:cs="仿宋_GB2312"/>
        </w:rPr>
        <w:t>：（1）论文、专著均限于教学研究、学术期刊论文或专著，一般文献综述、一般教材及会议论文不在此填报。请将有示范中心人员（含固定人员和流动人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多个作者只需填写中心成员靠前的一位，排名在类别中体现</w:t>
      </w:r>
      <w:r>
        <w:rPr>
          <w:rFonts w:ascii="楷体" w:hAnsi="楷体" w:eastAsia="楷体" w:cs="仿宋_GB2312"/>
        </w:rPr>
        <w:t>。</w:t>
      </w:r>
    </w:p>
    <w:p>
      <w:pPr>
        <w:spacing w:before="163" w:beforeLines="50"/>
        <w:ind w:firstLine="480" w:firstLineChars="200"/>
        <w:outlineLvl w:val="0"/>
        <w:rPr>
          <w:rFonts w:ascii="黑体" w:hAnsi="黑体" w:eastAsia="黑体"/>
        </w:rPr>
      </w:pPr>
      <w:r>
        <w:rPr>
          <w:rFonts w:hint="eastAsia" w:ascii="黑体" w:hAnsi="黑体" w:eastAsia="黑体" w:cs="仿宋_GB2312"/>
        </w:rPr>
        <w:t>3.仪器设备的研制和改装情况</w:t>
      </w:r>
    </w:p>
    <w:tbl>
      <w:tblPr>
        <w:tblStyle w:val="11"/>
        <w:tblW w:w="4874" w:type="pct"/>
        <w:tblInd w:w="11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84"/>
        <w:gridCol w:w="1174"/>
        <w:gridCol w:w="1219"/>
        <w:gridCol w:w="1323"/>
        <w:gridCol w:w="2072"/>
        <w:gridCol w:w="19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352" w:type="pct"/>
            <w:vAlign w:val="center"/>
          </w:tcPr>
          <w:p>
            <w:pPr>
              <w:adjustRightInd w:val="0"/>
              <w:snapToGrid w:val="0"/>
              <w:jc w:val="center"/>
              <w:rPr>
                <w:rFonts w:ascii="黑体" w:hAnsi="黑体" w:eastAsia="黑体" w:cs="宋体"/>
              </w:rPr>
            </w:pPr>
            <w:r>
              <w:rPr>
                <w:rFonts w:hint="eastAsia" w:ascii="黑体" w:hAnsi="黑体" w:eastAsia="黑体" w:cs="宋体"/>
              </w:rPr>
              <w:t>序号</w:t>
            </w:r>
          </w:p>
        </w:tc>
        <w:tc>
          <w:tcPr>
            <w:tcW w:w="707" w:type="pct"/>
            <w:vAlign w:val="center"/>
          </w:tcPr>
          <w:p>
            <w:pPr>
              <w:adjustRightInd w:val="0"/>
              <w:snapToGrid w:val="0"/>
              <w:jc w:val="center"/>
              <w:rPr>
                <w:rFonts w:ascii="黑体" w:hAnsi="黑体" w:eastAsia="黑体" w:cs="宋体"/>
              </w:rPr>
            </w:pPr>
            <w:r>
              <w:rPr>
                <w:rFonts w:hint="eastAsia" w:ascii="黑体" w:hAnsi="黑体" w:eastAsia="黑体" w:cs="宋体"/>
              </w:rPr>
              <w:t>仪器设</w:t>
            </w:r>
          </w:p>
          <w:p>
            <w:pPr>
              <w:adjustRightInd w:val="0"/>
              <w:snapToGrid w:val="0"/>
              <w:jc w:val="center"/>
              <w:rPr>
                <w:rFonts w:ascii="黑体" w:hAnsi="黑体" w:eastAsia="黑体" w:cs="宋体"/>
              </w:rPr>
            </w:pPr>
            <w:r>
              <w:rPr>
                <w:rFonts w:hint="eastAsia" w:ascii="黑体" w:hAnsi="黑体" w:eastAsia="黑体" w:cs="宋体"/>
              </w:rPr>
              <w:t>备名称</w:t>
            </w:r>
          </w:p>
        </w:tc>
        <w:tc>
          <w:tcPr>
            <w:tcW w:w="734" w:type="pct"/>
            <w:vAlign w:val="center"/>
          </w:tcPr>
          <w:p>
            <w:pPr>
              <w:adjustRightInd w:val="0"/>
              <w:snapToGrid w:val="0"/>
              <w:jc w:val="center"/>
              <w:rPr>
                <w:rFonts w:ascii="黑体" w:hAnsi="黑体" w:eastAsia="黑体" w:cs="宋体"/>
              </w:rPr>
            </w:pPr>
            <w:r>
              <w:rPr>
                <w:rFonts w:hint="eastAsia" w:ascii="黑体" w:hAnsi="黑体" w:eastAsia="黑体" w:cs="宋体"/>
              </w:rPr>
              <w:t>自制或</w:t>
            </w:r>
          </w:p>
          <w:p>
            <w:pPr>
              <w:adjustRightInd w:val="0"/>
              <w:snapToGrid w:val="0"/>
              <w:jc w:val="center"/>
              <w:rPr>
                <w:rFonts w:ascii="黑体" w:hAnsi="黑体" w:eastAsia="黑体" w:cs="宋体"/>
              </w:rPr>
            </w:pPr>
            <w:r>
              <w:rPr>
                <w:rFonts w:hint="eastAsia" w:ascii="黑体" w:hAnsi="黑体" w:eastAsia="黑体" w:cs="宋体"/>
              </w:rPr>
              <w:t>改装</w:t>
            </w:r>
          </w:p>
        </w:tc>
        <w:tc>
          <w:tcPr>
            <w:tcW w:w="797" w:type="pct"/>
            <w:vAlign w:val="center"/>
          </w:tcPr>
          <w:p>
            <w:pPr>
              <w:adjustRightInd w:val="0"/>
              <w:snapToGrid w:val="0"/>
              <w:ind w:left="-120" w:leftChars="-50" w:right="-120" w:rightChars="-50"/>
              <w:jc w:val="center"/>
              <w:rPr>
                <w:rFonts w:ascii="黑体" w:hAnsi="黑体" w:eastAsia="黑体" w:cs="宋体"/>
              </w:rPr>
            </w:pPr>
            <w:r>
              <w:rPr>
                <w:rFonts w:hint="eastAsia" w:ascii="黑体" w:hAnsi="黑体" w:eastAsia="黑体" w:cs="宋体"/>
              </w:rPr>
              <w:t>开发的功能和用途</w:t>
            </w:r>
          </w:p>
          <w:p>
            <w:pPr>
              <w:adjustRightInd w:val="0"/>
              <w:snapToGrid w:val="0"/>
              <w:jc w:val="center"/>
              <w:rPr>
                <w:rFonts w:ascii="黑体" w:hAnsi="黑体" w:eastAsia="黑体" w:cs="宋体"/>
              </w:rPr>
            </w:pPr>
            <w:r>
              <w:rPr>
                <w:rFonts w:hint="eastAsia" w:ascii="黑体" w:hAnsi="黑体" w:eastAsia="黑体" w:cs="宋体"/>
              </w:rPr>
              <w:t>（限100字以内）</w:t>
            </w:r>
          </w:p>
        </w:tc>
        <w:tc>
          <w:tcPr>
            <w:tcW w:w="1248" w:type="pct"/>
            <w:vAlign w:val="center"/>
          </w:tcPr>
          <w:p>
            <w:pPr>
              <w:adjustRightInd w:val="0"/>
              <w:snapToGrid w:val="0"/>
              <w:jc w:val="center"/>
              <w:rPr>
                <w:rFonts w:ascii="黑体" w:hAnsi="黑体" w:eastAsia="黑体" w:cs="宋体"/>
              </w:rPr>
            </w:pPr>
            <w:r>
              <w:rPr>
                <w:rFonts w:hint="eastAsia" w:ascii="黑体" w:hAnsi="黑体" w:eastAsia="黑体" w:cs="宋体"/>
              </w:rPr>
              <w:t>研究成果</w:t>
            </w:r>
          </w:p>
          <w:p>
            <w:pPr>
              <w:adjustRightInd w:val="0"/>
              <w:snapToGrid w:val="0"/>
              <w:ind w:left="-240" w:leftChars="-100" w:right="-120" w:rightChars="-50"/>
              <w:jc w:val="center"/>
              <w:rPr>
                <w:rFonts w:ascii="黑体" w:hAnsi="黑体" w:eastAsia="黑体" w:cs="宋体"/>
              </w:rPr>
            </w:pPr>
            <w:r>
              <w:rPr>
                <w:rFonts w:hint="eastAsia" w:ascii="黑体" w:hAnsi="黑体" w:eastAsia="黑体" w:cs="宋体"/>
              </w:rPr>
              <w:t>（限100字以内）</w:t>
            </w:r>
          </w:p>
        </w:tc>
        <w:tc>
          <w:tcPr>
            <w:tcW w:w="1162" w:type="pct"/>
            <w:vAlign w:val="center"/>
          </w:tcPr>
          <w:p>
            <w:pPr>
              <w:adjustRightInd w:val="0"/>
              <w:snapToGrid w:val="0"/>
              <w:jc w:val="center"/>
              <w:rPr>
                <w:rFonts w:ascii="黑体" w:hAnsi="黑体" w:eastAsia="黑体" w:cs="宋体"/>
              </w:rPr>
            </w:pPr>
            <w:r>
              <w:rPr>
                <w:rFonts w:hint="eastAsia" w:ascii="黑体" w:hAnsi="黑体" w:eastAsia="黑体" w:cs="宋体"/>
              </w:rPr>
              <w:t>推广和应用的高校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52" w:type="pct"/>
            <w:vAlign w:val="center"/>
          </w:tcPr>
          <w:p>
            <w:pPr>
              <w:adjustRightInd w:val="0"/>
              <w:snapToGrid w:val="0"/>
              <w:jc w:val="center"/>
              <w:rPr>
                <w:rFonts w:ascii="楷体" w:hAnsi="楷体" w:eastAsia="楷体"/>
              </w:rPr>
            </w:pPr>
          </w:p>
        </w:tc>
        <w:tc>
          <w:tcPr>
            <w:tcW w:w="707" w:type="pct"/>
            <w:vAlign w:val="center"/>
          </w:tcPr>
          <w:p>
            <w:pPr>
              <w:adjustRightInd w:val="0"/>
              <w:snapToGrid w:val="0"/>
              <w:jc w:val="center"/>
              <w:rPr>
                <w:rFonts w:ascii="楷体" w:hAnsi="楷体" w:eastAsia="楷体"/>
              </w:rPr>
            </w:pPr>
            <w:r>
              <w:rPr>
                <w:rFonts w:hint="eastAsia" w:ascii="楷体" w:hAnsi="楷体" w:eastAsia="楷体"/>
              </w:rPr>
              <w:t>/</w:t>
            </w:r>
          </w:p>
        </w:tc>
        <w:tc>
          <w:tcPr>
            <w:tcW w:w="734" w:type="pct"/>
            <w:vAlign w:val="center"/>
          </w:tcPr>
          <w:p>
            <w:pPr>
              <w:adjustRightInd w:val="0"/>
              <w:snapToGrid w:val="0"/>
              <w:jc w:val="center"/>
              <w:rPr>
                <w:rFonts w:ascii="楷体" w:hAnsi="楷体" w:eastAsia="楷体"/>
              </w:rPr>
            </w:pPr>
            <w:r>
              <w:rPr>
                <w:rFonts w:hint="eastAsia" w:ascii="楷体" w:hAnsi="楷体" w:eastAsia="楷体"/>
              </w:rPr>
              <w:t>/</w:t>
            </w:r>
          </w:p>
        </w:tc>
        <w:tc>
          <w:tcPr>
            <w:tcW w:w="797" w:type="pct"/>
            <w:vAlign w:val="center"/>
          </w:tcPr>
          <w:p>
            <w:pPr>
              <w:adjustRightInd w:val="0"/>
              <w:snapToGrid w:val="0"/>
              <w:jc w:val="center"/>
              <w:rPr>
                <w:rFonts w:ascii="楷体" w:hAnsi="楷体" w:eastAsia="楷体"/>
              </w:rPr>
            </w:pPr>
            <w:r>
              <w:rPr>
                <w:rFonts w:hint="eastAsia" w:ascii="楷体" w:hAnsi="楷体" w:eastAsia="楷体"/>
              </w:rPr>
              <w:t>/</w:t>
            </w:r>
          </w:p>
        </w:tc>
        <w:tc>
          <w:tcPr>
            <w:tcW w:w="1248" w:type="pct"/>
            <w:vAlign w:val="center"/>
          </w:tcPr>
          <w:p>
            <w:pPr>
              <w:adjustRightInd w:val="0"/>
              <w:snapToGrid w:val="0"/>
              <w:jc w:val="center"/>
              <w:rPr>
                <w:rFonts w:ascii="楷体" w:hAnsi="楷体" w:eastAsia="楷体"/>
              </w:rPr>
            </w:pPr>
            <w:r>
              <w:rPr>
                <w:rFonts w:hint="eastAsia" w:ascii="楷体" w:hAnsi="楷体" w:eastAsia="楷体"/>
              </w:rPr>
              <w:t>/</w:t>
            </w:r>
          </w:p>
        </w:tc>
        <w:tc>
          <w:tcPr>
            <w:tcW w:w="1162" w:type="pct"/>
            <w:vAlign w:val="center"/>
          </w:tcPr>
          <w:p>
            <w:pPr>
              <w:adjustRightInd w:val="0"/>
              <w:snapToGrid w:val="0"/>
              <w:jc w:val="center"/>
              <w:rPr>
                <w:rFonts w:ascii="楷体" w:hAnsi="楷体" w:eastAsia="楷体"/>
              </w:rPr>
            </w:pPr>
            <w:r>
              <w:rPr>
                <w:rFonts w:hint="eastAsia" w:ascii="楷体" w:hAnsi="楷体" w:eastAsia="楷体"/>
              </w:rPr>
              <w:t>/</w:t>
            </w:r>
          </w:p>
        </w:tc>
      </w:tr>
    </w:tbl>
    <w:p>
      <w:pPr>
        <w:spacing w:before="163" w:beforeLines="50"/>
        <w:ind w:firstLine="480" w:firstLineChars="200"/>
        <w:rPr>
          <w:rFonts w:ascii="楷体" w:hAnsi="楷体" w:eastAsia="楷体"/>
        </w:rPr>
      </w:pPr>
      <w:r>
        <w:rPr>
          <w:rFonts w:hint="eastAsia" w:ascii="楷体" w:hAnsi="楷体" w:eastAsia="楷体" w:cs="仿宋_GB2312"/>
          <w:bCs/>
        </w:rPr>
        <w:t>注：（1）自制：</w:t>
      </w:r>
      <w:r>
        <w:rPr>
          <w:rFonts w:hint="eastAsia" w:ascii="楷体" w:hAnsi="楷体" w:eastAsia="楷体" w:cs="仿宋_GB2312"/>
        </w:rPr>
        <w:t>实验室自行研制的仪器设备。（2）</w:t>
      </w:r>
      <w:r>
        <w:rPr>
          <w:rFonts w:hint="eastAsia" w:ascii="楷体" w:hAnsi="楷体" w:eastAsia="楷体" w:cs="仿宋_GB2312"/>
          <w:bCs/>
        </w:rPr>
        <w:t>改装：</w:t>
      </w:r>
      <w:r>
        <w:rPr>
          <w:rFonts w:hint="eastAsia" w:ascii="楷体" w:hAnsi="楷体" w:eastAsia="楷体" w:cs="仿宋_GB2312"/>
        </w:rPr>
        <w:t>对购置的仪器设备进行改装，赋予其新的功能和用途。（3）</w:t>
      </w:r>
      <w:r>
        <w:rPr>
          <w:rFonts w:hint="eastAsia" w:ascii="楷体" w:hAnsi="楷体" w:eastAsia="楷体" w:cs="仿宋_GB2312"/>
          <w:bCs/>
        </w:rPr>
        <w:t>研究成果：</w:t>
      </w:r>
      <w:r>
        <w:rPr>
          <w:rFonts w:hint="eastAsia" w:ascii="楷体" w:hAnsi="楷体" w:eastAsia="楷体" w:cs="仿宋_GB2312"/>
        </w:rPr>
        <w:t>用新研制或改装的仪器设备进行研究的创新性成果，列举</w:t>
      </w:r>
      <w:r>
        <w:rPr>
          <w:rFonts w:hint="eastAsia" w:ascii="楷体" w:hAnsi="楷体" w:eastAsia="楷体"/>
        </w:rPr>
        <w:t>1－2</w:t>
      </w:r>
      <w:r>
        <w:rPr>
          <w:rFonts w:hint="eastAsia" w:ascii="楷体" w:hAnsi="楷体" w:eastAsia="楷体" w:cs="仿宋_GB2312"/>
        </w:rPr>
        <w:t>项。</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4.其它成果情况</w:t>
      </w:r>
    </w:p>
    <w:tbl>
      <w:tblPr>
        <w:tblStyle w:val="11"/>
        <w:tblW w:w="4874" w:type="pct"/>
        <w:tblInd w:w="10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52"/>
        <w:gridCol w:w="38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4" w:hRule="atLeast"/>
          <w:tblHeader/>
        </w:trPr>
        <w:tc>
          <w:tcPr>
            <w:tcW w:w="2681" w:type="pct"/>
            <w:vAlign w:val="center"/>
          </w:tcPr>
          <w:p>
            <w:pPr>
              <w:adjustRightInd w:val="0"/>
              <w:snapToGrid w:val="0"/>
              <w:jc w:val="center"/>
              <w:rPr>
                <w:rFonts w:ascii="黑体" w:hAnsi="黑体" w:eastAsia="黑体" w:cs="宋体"/>
              </w:rPr>
            </w:pPr>
            <w:r>
              <w:rPr>
                <w:rFonts w:hint="eastAsia" w:ascii="黑体" w:hAnsi="黑体" w:eastAsia="黑体" w:cs="宋体"/>
              </w:rPr>
              <w:t>名称</w:t>
            </w:r>
          </w:p>
        </w:tc>
        <w:tc>
          <w:tcPr>
            <w:tcW w:w="2318" w:type="pct"/>
            <w:vAlign w:val="center"/>
          </w:tcPr>
          <w:p>
            <w:pPr>
              <w:adjustRightInd w:val="0"/>
              <w:snapToGrid w:val="0"/>
              <w:jc w:val="center"/>
              <w:rPr>
                <w:rFonts w:ascii="黑体" w:hAnsi="黑体" w:eastAsia="黑体" w:cs="宋体"/>
              </w:rPr>
            </w:pPr>
            <w:r>
              <w:rPr>
                <w:rFonts w:hint="eastAsia" w:ascii="黑体" w:hAnsi="黑体" w:eastAsia="黑体" w:cs="宋体"/>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楷体"/>
              </w:rPr>
            </w:pPr>
            <w:r>
              <w:rPr>
                <w:rFonts w:hint="eastAsia" w:ascii="楷体" w:hAnsi="楷体" w:eastAsia="楷体" w:cs="楷体"/>
              </w:rPr>
              <w:t>国内会议论文数</w:t>
            </w:r>
          </w:p>
        </w:tc>
        <w:tc>
          <w:tcPr>
            <w:tcW w:w="2318" w:type="pct"/>
            <w:vAlign w:val="center"/>
          </w:tcPr>
          <w:p>
            <w:pPr>
              <w:adjustRightInd w:val="0"/>
              <w:snapToGrid w:val="0"/>
              <w:jc w:val="center"/>
              <w:rPr>
                <w:rFonts w:ascii="楷体" w:hAnsi="楷体" w:eastAsia="楷体" w:cs="楷体"/>
              </w:rPr>
            </w:pPr>
            <w:r>
              <w:rPr>
                <w:rFonts w:hint="eastAsia" w:ascii="楷体" w:hAnsi="楷体" w:eastAsia="楷体" w:cs="楷体"/>
              </w:rPr>
              <w:t>21篇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2681" w:type="pct"/>
            <w:vAlign w:val="center"/>
          </w:tcPr>
          <w:p>
            <w:pPr>
              <w:adjustRightInd w:val="0"/>
              <w:snapToGrid w:val="0"/>
              <w:jc w:val="center"/>
              <w:rPr>
                <w:rFonts w:ascii="楷体" w:hAnsi="楷体" w:eastAsia="楷体" w:cs="楷体"/>
              </w:rPr>
            </w:pPr>
            <w:r>
              <w:rPr>
                <w:rFonts w:hint="eastAsia" w:ascii="楷体" w:hAnsi="楷体" w:eastAsia="楷体" w:cs="楷体"/>
              </w:rPr>
              <w:t>国际会议论文数</w:t>
            </w:r>
          </w:p>
        </w:tc>
        <w:tc>
          <w:tcPr>
            <w:tcW w:w="2318" w:type="pct"/>
            <w:vAlign w:val="center"/>
          </w:tcPr>
          <w:p>
            <w:pPr>
              <w:adjustRightInd w:val="0"/>
              <w:snapToGrid w:val="0"/>
              <w:jc w:val="center"/>
              <w:rPr>
                <w:rFonts w:ascii="楷体" w:hAnsi="楷体" w:eastAsia="楷体" w:cs="楷体"/>
              </w:rPr>
            </w:pPr>
            <w:r>
              <w:rPr>
                <w:rFonts w:hint="eastAsia" w:ascii="楷体" w:hAnsi="楷体" w:eastAsia="楷体" w:cs="楷体"/>
              </w:rPr>
              <w:t>6篇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楷体"/>
              </w:rPr>
            </w:pPr>
            <w:r>
              <w:rPr>
                <w:rFonts w:hint="eastAsia" w:ascii="楷体" w:hAnsi="楷体" w:eastAsia="楷体" w:cs="楷体"/>
              </w:rPr>
              <w:t>国内一般刊物发表论文数</w:t>
            </w:r>
          </w:p>
        </w:tc>
        <w:tc>
          <w:tcPr>
            <w:tcW w:w="2318" w:type="pct"/>
            <w:vAlign w:val="center"/>
          </w:tcPr>
          <w:p>
            <w:pPr>
              <w:adjustRightInd w:val="0"/>
              <w:snapToGrid w:val="0"/>
              <w:jc w:val="center"/>
              <w:rPr>
                <w:rFonts w:ascii="楷体" w:hAnsi="楷体" w:eastAsia="楷体" w:cs="楷体"/>
              </w:rPr>
            </w:pPr>
            <w:r>
              <w:rPr>
                <w:rFonts w:hint="eastAsia" w:ascii="楷体" w:hAnsi="楷体" w:eastAsia="楷体" w:cs="楷体"/>
              </w:rPr>
              <w:t>44篇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楷体"/>
              </w:rPr>
            </w:pPr>
            <w:r>
              <w:rPr>
                <w:rFonts w:hint="eastAsia" w:ascii="楷体" w:hAnsi="楷体" w:eastAsia="楷体" w:cs="楷体"/>
              </w:rPr>
              <w:t>省部委奖数</w:t>
            </w:r>
          </w:p>
        </w:tc>
        <w:tc>
          <w:tcPr>
            <w:tcW w:w="2318" w:type="pct"/>
            <w:vAlign w:val="center"/>
          </w:tcPr>
          <w:p>
            <w:pPr>
              <w:adjustRightInd w:val="0"/>
              <w:snapToGrid w:val="0"/>
              <w:jc w:val="center"/>
              <w:rPr>
                <w:rFonts w:ascii="楷体" w:hAnsi="楷体" w:eastAsia="楷体" w:cs="楷体"/>
              </w:rPr>
            </w:pPr>
            <w:r>
              <w:rPr>
                <w:rFonts w:hint="eastAsia" w:ascii="楷体" w:hAnsi="楷体" w:eastAsia="楷体" w:cs="楷体"/>
              </w:rPr>
              <w:t>2项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681" w:type="pct"/>
            <w:vAlign w:val="center"/>
          </w:tcPr>
          <w:p>
            <w:pPr>
              <w:adjustRightInd w:val="0"/>
              <w:snapToGrid w:val="0"/>
              <w:jc w:val="center"/>
              <w:rPr>
                <w:rFonts w:ascii="楷体" w:hAnsi="楷体" w:eastAsia="楷体" w:cs="楷体"/>
              </w:rPr>
            </w:pPr>
            <w:r>
              <w:rPr>
                <w:rFonts w:hint="eastAsia" w:ascii="楷体" w:hAnsi="楷体" w:eastAsia="楷体" w:cs="楷体"/>
              </w:rPr>
              <w:t>其它奖数</w:t>
            </w:r>
          </w:p>
        </w:tc>
        <w:tc>
          <w:tcPr>
            <w:tcW w:w="2318" w:type="pct"/>
            <w:vAlign w:val="center"/>
          </w:tcPr>
          <w:p>
            <w:pPr>
              <w:adjustRightInd w:val="0"/>
              <w:snapToGrid w:val="0"/>
              <w:jc w:val="center"/>
              <w:rPr>
                <w:rFonts w:ascii="楷体" w:hAnsi="楷体" w:eastAsia="楷体" w:cs="楷体"/>
              </w:rPr>
            </w:pPr>
            <w:r>
              <w:rPr>
                <w:rFonts w:hint="eastAsia" w:ascii="楷体" w:hAnsi="楷体" w:eastAsia="楷体" w:cs="楷体"/>
              </w:rPr>
              <w:t>6项</w:t>
            </w:r>
          </w:p>
        </w:tc>
      </w:tr>
    </w:tbl>
    <w:p>
      <w:pPr>
        <w:spacing w:before="163" w:beforeLines="50"/>
        <w:ind w:firstLine="480" w:firstLineChars="200"/>
        <w:rPr>
          <w:rFonts w:ascii="楷体" w:hAnsi="楷体" w:eastAsia="楷体" w:cs="仿宋_GB2312"/>
          <w:bCs/>
        </w:rPr>
      </w:pPr>
    </w:p>
    <w:p>
      <w:pPr>
        <w:spacing w:before="163" w:beforeLines="50"/>
        <w:ind w:firstLine="480" w:firstLineChars="200"/>
        <w:rPr>
          <w:rFonts w:ascii="楷体" w:hAnsi="楷体" w:eastAsia="楷体" w:cs="仿宋_GB2312"/>
        </w:rPr>
      </w:pPr>
      <w:r>
        <w:rPr>
          <w:rFonts w:hint="eastAsia" w:ascii="楷体" w:hAnsi="楷体" w:eastAsia="楷体" w:cs="仿宋_GB2312"/>
          <w:bCs/>
        </w:rPr>
        <w:t>注：国内一般刊物：</w:t>
      </w:r>
      <w:r>
        <w:rPr>
          <w:rFonts w:hint="eastAsia" w:ascii="楷体" w:hAnsi="楷体" w:eastAsia="楷体" w:cs="仿宋_GB2312"/>
        </w:rPr>
        <w:t>除“（二）2”以外的其他国内刊物，只填汇总数量。</w:t>
      </w:r>
    </w:p>
    <w:p>
      <w:pPr>
        <w:spacing w:before="163" w:beforeLines="50"/>
        <w:ind w:firstLine="643" w:firstLineChars="200"/>
        <w:rPr>
          <w:rFonts w:ascii="黑体" w:hAnsi="黑体" w:eastAsia="黑体"/>
          <w:b/>
          <w:sz w:val="32"/>
          <w:szCs w:val="32"/>
        </w:rPr>
      </w:pPr>
      <w:r>
        <w:rPr>
          <w:rFonts w:hint="eastAsia" w:ascii="黑体" w:hAnsi="黑体" w:eastAsia="黑体"/>
          <w:b/>
          <w:sz w:val="32"/>
          <w:szCs w:val="32"/>
        </w:rPr>
        <w:t>五、</w:t>
      </w:r>
      <w:r>
        <w:rPr>
          <w:rFonts w:hint="eastAsia" w:ascii="黑体" w:hAnsi="黑体" w:eastAsia="黑体" w:cs="仿宋_GB2312"/>
          <w:b/>
          <w:sz w:val="32"/>
          <w:szCs w:val="32"/>
        </w:rPr>
        <w:t>信息化建设、开放运行和示范辐射情况</w:t>
      </w:r>
    </w:p>
    <w:p>
      <w:pPr>
        <w:spacing w:after="163" w:afterLines="50"/>
        <w:ind w:firstLine="560" w:firstLineChars="200"/>
        <w:rPr>
          <w:rFonts w:ascii="黑体" w:hAnsi="黑体" w:eastAsia="黑体"/>
          <w:sz w:val="28"/>
          <w:szCs w:val="28"/>
        </w:rPr>
      </w:pPr>
      <w:r>
        <w:rPr>
          <w:rFonts w:hint="eastAsia" w:ascii="黑体" w:hAnsi="黑体" w:eastAsia="黑体"/>
          <w:sz w:val="28"/>
          <w:szCs w:val="28"/>
        </w:rPr>
        <w:t>（一）信息化建设情况</w:t>
      </w:r>
    </w:p>
    <w:tbl>
      <w:tblPr>
        <w:tblStyle w:val="12"/>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65"/>
        <w:gridCol w:w="49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中心网址</w:t>
            </w:r>
          </w:p>
        </w:tc>
        <w:tc>
          <w:tcPr>
            <w:tcW w:w="2906" w:type="pct"/>
            <w:vAlign w:val="center"/>
          </w:tcPr>
          <w:p>
            <w:pPr>
              <w:adjustRightInd w:val="0"/>
              <w:snapToGrid w:val="0"/>
              <w:jc w:val="center"/>
              <w:rPr>
                <w:rFonts w:ascii="楷体" w:hAnsi="楷体" w:eastAsia="楷体" w:cs="楷体"/>
              </w:rPr>
            </w:pPr>
            <w:r>
              <w:rPr>
                <w:rFonts w:hint="eastAsia" w:ascii="楷体" w:hAnsi="楷体" w:eastAsia="楷体" w:cs="楷体"/>
              </w:rPr>
              <w:t>http://syzxsb.hbue.edu.cn/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中心网址年度访问总量</w:t>
            </w:r>
          </w:p>
        </w:tc>
        <w:tc>
          <w:tcPr>
            <w:tcW w:w="2906" w:type="pct"/>
            <w:vAlign w:val="center"/>
          </w:tcPr>
          <w:p>
            <w:pPr>
              <w:adjustRightInd w:val="0"/>
              <w:snapToGrid w:val="0"/>
              <w:jc w:val="center"/>
              <w:rPr>
                <w:rFonts w:ascii="楷体" w:hAnsi="楷体" w:eastAsia="楷体" w:cs="楷体"/>
              </w:rPr>
            </w:pPr>
            <w:r>
              <w:rPr>
                <w:rFonts w:hint="eastAsia" w:ascii="楷体" w:hAnsi="楷体" w:eastAsia="楷体" w:cs="楷体"/>
              </w:rPr>
              <w:t>437062人次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60" w:hRule="atLeast"/>
          <w:jc w:val="center"/>
        </w:trPr>
        <w:tc>
          <w:tcPr>
            <w:tcW w:w="2093" w:type="pct"/>
            <w:vAlign w:val="center"/>
          </w:tcPr>
          <w:p>
            <w:pPr>
              <w:adjustRightInd w:val="0"/>
              <w:snapToGrid w:val="0"/>
              <w:jc w:val="center"/>
              <w:rPr>
                <w:rFonts w:ascii="黑体" w:hAnsi="黑体" w:eastAsia="黑体"/>
              </w:rPr>
            </w:pPr>
            <w:r>
              <w:rPr>
                <w:rFonts w:hint="eastAsia" w:ascii="黑体" w:hAnsi="黑体" w:eastAsia="黑体"/>
              </w:rPr>
              <w:t>虚拟仿真实验教学项目</w:t>
            </w:r>
          </w:p>
        </w:tc>
        <w:tc>
          <w:tcPr>
            <w:tcW w:w="2906" w:type="pct"/>
            <w:vAlign w:val="center"/>
          </w:tcPr>
          <w:p>
            <w:pPr>
              <w:adjustRightInd w:val="0"/>
              <w:snapToGrid w:val="0"/>
              <w:jc w:val="center"/>
              <w:rPr>
                <w:rFonts w:ascii="楷体" w:hAnsi="楷体" w:eastAsia="楷体" w:cs="楷体"/>
              </w:rPr>
            </w:pPr>
            <w:r>
              <w:rPr>
                <w:rFonts w:hint="eastAsia" w:ascii="楷体" w:hAnsi="楷体" w:eastAsia="楷体" w:cs="楷体"/>
              </w:rPr>
              <w:t>213项</w:t>
            </w:r>
          </w:p>
        </w:tc>
      </w:tr>
    </w:tbl>
    <w:p>
      <w:pPr>
        <w:spacing w:before="163" w:beforeLines="50"/>
        <w:ind w:firstLine="560" w:firstLineChars="200"/>
        <w:rPr>
          <w:rFonts w:ascii="黑体" w:hAnsi="黑体" w:eastAsia="黑体" w:cs="仿宋_GB2312"/>
          <w:sz w:val="28"/>
          <w:szCs w:val="28"/>
        </w:rPr>
      </w:pPr>
      <w:r>
        <w:rPr>
          <w:rFonts w:hint="eastAsia" w:ascii="黑体" w:hAnsi="黑体" w:eastAsia="黑体" w:cs="仿宋_GB2312"/>
          <w:sz w:val="28"/>
          <w:szCs w:val="28"/>
        </w:rPr>
        <w:t>（二）开放运行和示范辐射情况</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1.参加示范中心联席会活动情况</w:t>
      </w:r>
    </w:p>
    <w:tbl>
      <w:tblPr>
        <w:tblStyle w:val="1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3"/>
        <w:gridCol w:w="373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jc w:val="center"/>
              <w:rPr>
                <w:rFonts w:ascii="黑体" w:hAnsi="黑体" w:eastAsia="黑体" w:cs="仿宋_GB2312"/>
              </w:rPr>
            </w:pPr>
            <w:r>
              <w:rPr>
                <w:rFonts w:hint="eastAsia" w:ascii="黑体" w:hAnsi="黑体" w:eastAsia="黑体" w:cs="仿宋_GB2312"/>
              </w:rPr>
              <w:t>所在示范中心联席会学科组名称</w:t>
            </w:r>
          </w:p>
        </w:tc>
        <w:tc>
          <w:tcPr>
            <w:tcW w:w="2192" w:type="pct"/>
            <w:vAlign w:val="center"/>
          </w:tcPr>
          <w:p>
            <w:pPr>
              <w:adjustRightInd w:val="0"/>
              <w:snapToGrid w:val="0"/>
              <w:jc w:val="center"/>
              <w:rPr>
                <w:rFonts w:ascii="楷体" w:hAnsi="楷体" w:eastAsia="楷体" w:cs="楷体"/>
              </w:rPr>
            </w:pPr>
            <w:r>
              <w:rPr>
                <w:rFonts w:hint="eastAsia" w:ascii="楷体" w:hAnsi="楷体" w:eastAsia="楷体" w:cs="楷体"/>
              </w:rPr>
              <w:t>高等学校国家级实验教学示范中心联席会经管学科组</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2808" w:type="pct"/>
            <w:vAlign w:val="center"/>
          </w:tcPr>
          <w:p>
            <w:pPr>
              <w:adjustRightInd w:val="0"/>
              <w:snapToGrid w:val="0"/>
              <w:ind w:firstLine="480" w:firstLineChars="200"/>
              <w:jc w:val="center"/>
              <w:rPr>
                <w:rFonts w:ascii="黑体" w:hAnsi="黑体" w:eastAsia="黑体" w:cs="仿宋_GB2312"/>
              </w:rPr>
            </w:pPr>
            <w:r>
              <w:rPr>
                <w:rFonts w:hint="eastAsia" w:ascii="黑体" w:hAnsi="黑体" w:eastAsia="黑体" w:cs="仿宋_GB2312"/>
              </w:rPr>
              <w:t>参加活动的人次数</w:t>
            </w:r>
          </w:p>
        </w:tc>
        <w:tc>
          <w:tcPr>
            <w:tcW w:w="2192" w:type="pct"/>
            <w:vAlign w:val="center"/>
          </w:tcPr>
          <w:p>
            <w:pPr>
              <w:adjustRightInd w:val="0"/>
              <w:snapToGrid w:val="0"/>
              <w:jc w:val="center"/>
              <w:rPr>
                <w:rFonts w:ascii="楷体" w:hAnsi="楷体" w:eastAsia="楷体" w:cs="楷体"/>
              </w:rPr>
            </w:pPr>
            <w:r>
              <w:rPr>
                <w:rFonts w:hint="eastAsia" w:ascii="楷体" w:hAnsi="楷体" w:eastAsia="楷体" w:cs="楷体"/>
              </w:rPr>
              <w:t>50人次</w:t>
            </w:r>
          </w:p>
        </w:tc>
      </w:tr>
    </w:tbl>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2.承办大型会议情况</w:t>
      </w:r>
    </w:p>
    <w:tbl>
      <w:tblPr>
        <w:tblStyle w:val="1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43"/>
        <w:gridCol w:w="1561"/>
        <w:gridCol w:w="1955"/>
        <w:gridCol w:w="1242"/>
        <w:gridCol w:w="1242"/>
        <w:gridCol w:w="886"/>
        <w:gridCol w:w="8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3" w:hRule="atLeast"/>
          <w:tblHeader/>
        </w:trPr>
        <w:tc>
          <w:tcPr>
            <w:tcW w:w="436" w:type="pct"/>
            <w:vAlign w:val="center"/>
          </w:tcPr>
          <w:p>
            <w:pPr>
              <w:jc w:val="center"/>
              <w:rPr>
                <w:rFonts w:ascii="黑体" w:hAnsi="黑体" w:eastAsia="黑体"/>
              </w:rPr>
            </w:pPr>
            <w:r>
              <w:rPr>
                <w:rFonts w:hint="eastAsia" w:ascii="黑体" w:hAnsi="黑体" w:eastAsia="黑体" w:cs="宋体"/>
              </w:rPr>
              <w:t>序号</w:t>
            </w:r>
          </w:p>
        </w:tc>
        <w:tc>
          <w:tcPr>
            <w:tcW w:w="916" w:type="pct"/>
            <w:vAlign w:val="center"/>
          </w:tcPr>
          <w:p>
            <w:pPr>
              <w:jc w:val="center"/>
              <w:rPr>
                <w:rFonts w:ascii="黑体" w:hAnsi="黑体" w:eastAsia="黑体"/>
              </w:rPr>
            </w:pPr>
            <w:r>
              <w:rPr>
                <w:rFonts w:hint="eastAsia" w:ascii="黑体" w:hAnsi="黑体" w:eastAsia="黑体" w:cs="宋体"/>
              </w:rPr>
              <w:t>会议名称</w:t>
            </w:r>
          </w:p>
        </w:tc>
        <w:tc>
          <w:tcPr>
            <w:tcW w:w="1147" w:type="pct"/>
            <w:vAlign w:val="center"/>
          </w:tcPr>
          <w:p>
            <w:pPr>
              <w:jc w:val="center"/>
              <w:rPr>
                <w:rFonts w:ascii="黑体" w:hAnsi="黑体" w:eastAsia="黑体"/>
              </w:rPr>
            </w:pPr>
            <w:r>
              <w:rPr>
                <w:rFonts w:hint="eastAsia" w:ascii="黑体" w:hAnsi="黑体" w:eastAsia="黑体" w:cs="宋体"/>
              </w:rPr>
              <w:t>主办单位名称</w:t>
            </w:r>
          </w:p>
        </w:tc>
        <w:tc>
          <w:tcPr>
            <w:tcW w:w="729" w:type="pct"/>
            <w:vAlign w:val="center"/>
          </w:tcPr>
          <w:p>
            <w:pPr>
              <w:jc w:val="center"/>
              <w:rPr>
                <w:rFonts w:ascii="黑体" w:hAnsi="黑体" w:eastAsia="黑体"/>
              </w:rPr>
            </w:pPr>
            <w:r>
              <w:rPr>
                <w:rFonts w:hint="eastAsia" w:ascii="黑体" w:hAnsi="黑体" w:eastAsia="黑体" w:cs="宋体"/>
              </w:rPr>
              <w:t>会议主席</w:t>
            </w:r>
          </w:p>
        </w:tc>
        <w:tc>
          <w:tcPr>
            <w:tcW w:w="729" w:type="pct"/>
            <w:vAlign w:val="center"/>
          </w:tcPr>
          <w:p>
            <w:pPr>
              <w:jc w:val="center"/>
              <w:rPr>
                <w:rFonts w:ascii="黑体" w:hAnsi="黑体" w:eastAsia="黑体"/>
              </w:rPr>
            </w:pPr>
            <w:r>
              <w:rPr>
                <w:rFonts w:hint="eastAsia" w:ascii="黑体" w:hAnsi="黑体" w:eastAsia="黑体"/>
              </w:rPr>
              <w:t>参加人数</w:t>
            </w:r>
          </w:p>
        </w:tc>
        <w:tc>
          <w:tcPr>
            <w:tcW w:w="520" w:type="pct"/>
            <w:vAlign w:val="center"/>
          </w:tcPr>
          <w:p>
            <w:pPr>
              <w:jc w:val="center"/>
              <w:rPr>
                <w:rFonts w:ascii="黑体" w:hAnsi="黑体" w:eastAsia="黑体"/>
              </w:rPr>
            </w:pPr>
            <w:r>
              <w:rPr>
                <w:rFonts w:hint="eastAsia" w:ascii="黑体" w:hAnsi="黑体" w:eastAsia="黑体" w:cs="宋体"/>
              </w:rPr>
              <w:t>时间</w:t>
            </w:r>
          </w:p>
        </w:tc>
        <w:tc>
          <w:tcPr>
            <w:tcW w:w="520" w:type="pct"/>
            <w:vAlign w:val="center"/>
          </w:tcPr>
          <w:p>
            <w:pPr>
              <w:jc w:val="center"/>
              <w:rPr>
                <w:rFonts w:ascii="黑体" w:hAnsi="黑体" w:eastAsia="黑体"/>
              </w:rPr>
            </w:pPr>
            <w:r>
              <w:rPr>
                <w:rFonts w:hint="eastAsia" w:ascii="黑体" w:hAnsi="黑体" w:eastAsia="黑体" w:cs="宋体"/>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2"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1</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中国法学会经济法学研究会2022年年会暨第三十届全国经济法理论研讨会</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color w:val="333333"/>
                <w:shd w:val="clear" w:color="auto" w:fill="FFFFFF"/>
              </w:rPr>
              <w:t>刘大洪</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40000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12月3日至4日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3"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2</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第九届市场导向的绿色低碳发展国际研讨会</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color w:val="333333"/>
                <w:shd w:val="clear" w:color="auto" w:fill="FFFFFF"/>
              </w:rPr>
              <w:t>方洁</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300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12月3日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全球性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21"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3</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第五届财经一流学科建设联盟会议暨高端论坛</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rPr>
              <w:t>方洁</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1800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5月27日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3"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4</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第四届碳会计与碳金融国际研讨会</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color w:val="333333"/>
                <w:shd w:val="clear" w:color="auto" w:fill="FFFFFF"/>
              </w:rPr>
              <w:t>付宏</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1000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11月5日至6日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全球性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1"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5</w:t>
            </w:r>
          </w:p>
        </w:tc>
        <w:tc>
          <w:tcPr>
            <w:tcW w:w="916"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第五届长江经济带发展战略论坛</w:t>
            </w:r>
          </w:p>
        </w:tc>
        <w:tc>
          <w:tcPr>
            <w:tcW w:w="1147"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color w:val="333333"/>
                <w:shd w:val="clear" w:color="auto" w:fill="FFFFFF"/>
              </w:rPr>
            </w:pPr>
            <w:r>
              <w:rPr>
                <w:rFonts w:hint="eastAsia" w:ascii="楷体" w:hAnsi="楷体" w:eastAsia="楷体" w:cs="楷体"/>
                <w:color w:val="333333"/>
                <w:shd w:val="clear" w:color="auto" w:fill="FFFFFF"/>
              </w:rPr>
              <w:t>方洁</w:t>
            </w:r>
          </w:p>
        </w:tc>
        <w:tc>
          <w:tcPr>
            <w:tcW w:w="729"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 xml:space="preserve">400000 </w:t>
            </w:r>
          </w:p>
        </w:tc>
        <w:tc>
          <w:tcPr>
            <w:tcW w:w="52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12月3日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6</w:t>
            </w:r>
          </w:p>
        </w:tc>
        <w:tc>
          <w:tcPr>
            <w:tcW w:w="916" w:type="pct"/>
            <w:vAlign w:val="center"/>
          </w:tcPr>
          <w:p>
            <w:pPr>
              <w:pStyle w:val="2"/>
              <w:shd w:val="clear" w:color="auto" w:fill="FFFFFF"/>
              <w:spacing w:beforeAutospacing="0" w:afterAutospacing="0"/>
              <w:jc w:val="center"/>
              <w:rPr>
                <w:rFonts w:ascii="楷体" w:hAnsi="楷体" w:eastAsia="楷体" w:cs="楷体"/>
                <w:color w:val="333333"/>
                <w:sz w:val="24"/>
                <w:szCs w:val="24"/>
                <w:shd w:val="clear" w:color="auto" w:fill="FFFFFF"/>
              </w:rPr>
            </w:pPr>
            <w:r>
              <w:rPr>
                <w:rFonts w:hint="eastAsia" w:ascii="楷体" w:hAnsi="楷体" w:eastAsia="楷体" w:cs="楷体"/>
                <w:b w:val="0"/>
                <w:bCs w:val="0"/>
                <w:color w:val="282828"/>
                <w:sz w:val="24"/>
                <w:szCs w:val="24"/>
                <w:shd w:val="clear" w:color="auto" w:fill="FFFFFF"/>
              </w:rPr>
              <w:t>跨越发展大会暨双碳人才培养高端论坛</w:t>
            </w:r>
          </w:p>
        </w:tc>
        <w:tc>
          <w:tcPr>
            <w:tcW w:w="1147"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color w:val="333333"/>
                <w:shd w:val="clear" w:color="auto" w:fill="FFFFFF"/>
              </w:rPr>
            </w:pPr>
            <w:r>
              <w:rPr>
                <w:rFonts w:hint="eastAsia" w:ascii="楷体" w:hAnsi="楷体" w:eastAsia="楷体" w:cs="楷体"/>
                <w:color w:val="333333"/>
                <w:shd w:val="clear" w:color="auto" w:fill="FFFFFF"/>
              </w:rPr>
              <w:t>方洁</w:t>
            </w:r>
          </w:p>
        </w:tc>
        <w:tc>
          <w:tcPr>
            <w:tcW w:w="729"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500</w:t>
            </w:r>
          </w:p>
        </w:tc>
        <w:tc>
          <w:tcPr>
            <w:tcW w:w="52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5月28日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全国性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0"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7</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湖北省动漫协会第四届第一次会员大会暨 2022未来人工智能时代的动画与数字媒体发展</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rPr>
              <w:t>刘大洪</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200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11月19日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区域性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465"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8</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湖北省数量经济学会2021-2022年学术年会</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rPr>
              <w:t>方洁</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120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7月16至17日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区域性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67"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9</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第八届“金飞燕”海峡两岸微电影微视频大赛高峰论坛</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color w:val="333333"/>
                <w:shd w:val="clear" w:color="auto" w:fill="FFFFFF"/>
              </w:rPr>
              <w:t>鲁晓成</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300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5月26日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双边性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722"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10</w:t>
            </w:r>
          </w:p>
        </w:tc>
        <w:tc>
          <w:tcPr>
            <w:tcW w:w="91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新文科背景下新闻传播学类一流专业建设研讨会</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rPr>
                <w:rFonts w:ascii="楷体" w:hAnsi="楷体" w:eastAsia="楷体" w:cs="楷体"/>
              </w:rPr>
            </w:pPr>
            <w:r>
              <w:rPr>
                <w:rFonts w:hint="eastAsia" w:ascii="楷体" w:hAnsi="楷体" w:eastAsia="楷体" w:cs="楷体"/>
                <w:color w:val="333333"/>
                <w:shd w:val="clear" w:color="auto" w:fill="FFFFFF"/>
              </w:rPr>
              <w:t>鲁晓成</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30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7月9日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区域性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11</w:t>
            </w:r>
          </w:p>
        </w:tc>
        <w:tc>
          <w:tcPr>
            <w:tcW w:w="916" w:type="pct"/>
            <w:vAlign w:val="center"/>
          </w:tcPr>
          <w:p>
            <w:pPr>
              <w:jc w:val="center"/>
              <w:rPr>
                <w:rFonts w:ascii="楷体" w:hAnsi="楷体" w:eastAsia="楷体" w:cs="楷体"/>
              </w:rPr>
            </w:pPr>
            <w:r>
              <w:rPr>
                <w:rFonts w:hint="eastAsia" w:ascii="楷体" w:hAnsi="楷体" w:eastAsia="楷体" w:cs="楷体"/>
                <w:color w:val="333333"/>
                <w:shd w:val="clear" w:color="auto" w:fill="FFFFFF"/>
              </w:rPr>
              <w:t>海峡两岸旅游与餐饮文化学术研讨会暨第三届海峡两岸博士论坛</w:t>
            </w:r>
          </w:p>
        </w:tc>
        <w:tc>
          <w:tcPr>
            <w:tcW w:w="1147"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jc w:val="center"/>
              <w:rPr>
                <w:rFonts w:ascii="楷体" w:hAnsi="楷体" w:eastAsia="楷体" w:cs="楷体"/>
              </w:rPr>
            </w:pPr>
            <w:r>
              <w:rPr>
                <w:rFonts w:hint="eastAsia" w:ascii="楷体" w:hAnsi="楷体" w:eastAsia="楷体" w:cs="楷体"/>
                <w:color w:val="333333"/>
                <w:shd w:val="clear" w:color="auto" w:fill="FFFFFF"/>
              </w:rPr>
              <w:t>何慧刚</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100</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5月26日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双边性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12</w:t>
            </w:r>
          </w:p>
        </w:tc>
        <w:tc>
          <w:tcPr>
            <w:tcW w:w="916"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rPr>
              <w:t>希贤-珞喻”财政学同城论坛</w:t>
            </w:r>
          </w:p>
        </w:tc>
        <w:tc>
          <w:tcPr>
            <w:tcW w:w="1147"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湖北经济学院</w:t>
            </w:r>
          </w:p>
        </w:tc>
        <w:tc>
          <w:tcPr>
            <w:tcW w:w="729" w:type="pct"/>
            <w:vAlign w:val="center"/>
          </w:tcPr>
          <w:p>
            <w:pPr>
              <w:adjustRightInd w:val="0"/>
              <w:snapToGrid w:val="0"/>
              <w:ind w:firstLine="240" w:firstLineChars="10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方洁</w:t>
            </w:r>
          </w:p>
        </w:tc>
        <w:tc>
          <w:tcPr>
            <w:tcW w:w="729" w:type="pct"/>
            <w:vAlign w:val="center"/>
          </w:tcPr>
          <w:p>
            <w:pPr>
              <w:adjustRightInd w:val="0"/>
              <w:snapToGrid w:val="0"/>
              <w:jc w:val="center"/>
              <w:rPr>
                <w:rFonts w:ascii="楷体" w:hAnsi="楷体" w:eastAsia="楷体" w:cs="楷体"/>
              </w:rPr>
            </w:pPr>
            <w:r>
              <w:rPr>
                <w:rFonts w:hint="eastAsia" w:ascii="楷体" w:hAnsi="楷体" w:eastAsia="楷体" w:cs="楷体"/>
              </w:rPr>
              <w:t>40</w:t>
            </w:r>
          </w:p>
        </w:tc>
        <w:tc>
          <w:tcPr>
            <w:tcW w:w="52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rPr>
              <w:t>4月29日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区域性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436" w:type="pct"/>
            <w:vAlign w:val="center"/>
          </w:tcPr>
          <w:p>
            <w:pPr>
              <w:adjustRightInd w:val="0"/>
              <w:snapToGrid w:val="0"/>
              <w:jc w:val="center"/>
              <w:rPr>
                <w:rFonts w:ascii="楷体" w:hAnsi="楷体" w:eastAsia="楷体" w:cs="楷体"/>
              </w:rPr>
            </w:pPr>
            <w:r>
              <w:rPr>
                <w:rFonts w:hint="eastAsia" w:ascii="楷体" w:hAnsi="楷体" w:eastAsia="楷体" w:cs="楷体"/>
              </w:rPr>
              <w:t>13</w:t>
            </w:r>
          </w:p>
        </w:tc>
        <w:tc>
          <w:tcPr>
            <w:tcW w:w="916" w:type="pct"/>
            <w:vAlign w:val="center"/>
          </w:tcPr>
          <w:p>
            <w:pPr>
              <w:jc w:val="center"/>
              <w:rPr>
                <w:rFonts w:ascii="楷体" w:hAnsi="楷体" w:eastAsia="楷体" w:cs="楷体"/>
                <w:color w:val="333333"/>
              </w:rPr>
            </w:pPr>
            <w:r>
              <w:rPr>
                <w:rFonts w:hint="eastAsia" w:ascii="楷体" w:hAnsi="楷体" w:eastAsia="楷体" w:cs="楷体"/>
                <w:color w:val="333333"/>
              </w:rPr>
              <w:t>湖北省高校经济管理实验教学示范中心联席会第十二届年会暨新商科背景下经济管理实验教学创新</w:t>
            </w:r>
          </w:p>
          <w:p>
            <w:pPr>
              <w:jc w:val="center"/>
              <w:rPr>
                <w:rFonts w:ascii="楷体" w:hAnsi="楷体" w:eastAsia="楷体" w:cs="楷体"/>
                <w:color w:val="333333"/>
              </w:rPr>
            </w:pPr>
            <w:r>
              <w:rPr>
                <w:rFonts w:hint="eastAsia" w:ascii="楷体" w:hAnsi="楷体" w:eastAsia="楷体" w:cs="楷体"/>
                <w:color w:val="333333"/>
              </w:rPr>
              <w:t>研讨会</w:t>
            </w:r>
          </w:p>
        </w:tc>
        <w:tc>
          <w:tcPr>
            <w:tcW w:w="1147" w:type="pct"/>
            <w:vAlign w:val="center"/>
          </w:tcPr>
          <w:p>
            <w:pPr>
              <w:jc w:val="center"/>
              <w:rPr>
                <w:rFonts w:ascii="楷体" w:hAnsi="楷体" w:eastAsia="楷体" w:cs="楷体"/>
                <w:color w:val="333333"/>
              </w:rPr>
            </w:pPr>
            <w:r>
              <w:rPr>
                <w:rFonts w:hint="eastAsia" w:ascii="楷体" w:hAnsi="楷体" w:eastAsia="楷体" w:cs="楷体"/>
                <w:color w:val="333333"/>
              </w:rPr>
              <w:t>湖北省高等学校经济管理实验教学示范中心联</w:t>
            </w:r>
          </w:p>
          <w:p>
            <w:pPr>
              <w:jc w:val="center"/>
              <w:rPr>
                <w:rFonts w:ascii="楷体" w:hAnsi="楷体" w:eastAsia="楷体" w:cs="楷体"/>
                <w:color w:val="333333"/>
              </w:rPr>
            </w:pPr>
            <w:r>
              <w:rPr>
                <w:rFonts w:hint="eastAsia" w:ascii="楷体" w:hAnsi="楷体" w:eastAsia="楷体" w:cs="楷体"/>
                <w:color w:val="333333"/>
              </w:rPr>
              <w:t>席会</w:t>
            </w:r>
          </w:p>
        </w:tc>
        <w:tc>
          <w:tcPr>
            <w:tcW w:w="729" w:type="pct"/>
            <w:vAlign w:val="center"/>
          </w:tcPr>
          <w:p>
            <w:pPr>
              <w:jc w:val="center"/>
              <w:rPr>
                <w:rFonts w:ascii="楷体" w:hAnsi="楷体" w:eastAsia="楷体" w:cs="楷体"/>
                <w:color w:val="333333"/>
              </w:rPr>
            </w:pPr>
            <w:r>
              <w:rPr>
                <w:rFonts w:hint="eastAsia" w:ascii="楷体" w:hAnsi="楷体" w:eastAsia="楷体" w:cs="楷体"/>
                <w:color w:val="333333"/>
              </w:rPr>
              <w:t>陈新武</w:t>
            </w:r>
          </w:p>
        </w:tc>
        <w:tc>
          <w:tcPr>
            <w:tcW w:w="729" w:type="pct"/>
            <w:vAlign w:val="center"/>
          </w:tcPr>
          <w:p>
            <w:pPr>
              <w:jc w:val="center"/>
              <w:rPr>
                <w:rFonts w:ascii="楷体" w:hAnsi="楷体" w:eastAsia="楷体" w:cs="楷体"/>
                <w:color w:val="333333"/>
              </w:rPr>
            </w:pPr>
            <w:r>
              <w:rPr>
                <w:rFonts w:hint="eastAsia" w:ascii="楷体" w:hAnsi="楷体" w:eastAsia="楷体" w:cs="楷体"/>
                <w:color w:val="333333"/>
              </w:rPr>
              <w:t>100</w:t>
            </w:r>
          </w:p>
        </w:tc>
        <w:tc>
          <w:tcPr>
            <w:tcW w:w="520" w:type="pct"/>
            <w:vAlign w:val="center"/>
          </w:tcPr>
          <w:p>
            <w:pPr>
              <w:jc w:val="center"/>
              <w:rPr>
                <w:rFonts w:ascii="楷体" w:hAnsi="楷体" w:eastAsia="楷体" w:cs="楷体"/>
                <w:color w:val="333333"/>
              </w:rPr>
            </w:pPr>
            <w:r>
              <w:rPr>
                <w:rFonts w:hint="eastAsia" w:ascii="楷体" w:hAnsi="楷体" w:eastAsia="楷体" w:cs="楷体"/>
                <w:color w:val="333333"/>
              </w:rPr>
              <w:t>12月10日</w:t>
            </w:r>
          </w:p>
        </w:tc>
        <w:tc>
          <w:tcPr>
            <w:tcW w:w="520" w:type="pct"/>
            <w:vAlign w:val="center"/>
          </w:tcPr>
          <w:p>
            <w:pPr>
              <w:adjustRightInd w:val="0"/>
              <w:snapToGrid w:val="0"/>
              <w:jc w:val="center"/>
              <w:rPr>
                <w:rFonts w:ascii="楷体" w:hAnsi="楷体" w:eastAsia="楷体" w:cs="楷体"/>
              </w:rPr>
            </w:pPr>
            <w:r>
              <w:rPr>
                <w:rFonts w:hint="eastAsia" w:ascii="楷体" w:hAnsi="楷体" w:eastAsia="楷体" w:cs="楷体"/>
              </w:rPr>
              <w:t>区域性</w:t>
            </w:r>
          </w:p>
        </w:tc>
      </w:tr>
    </w:tbl>
    <w:p>
      <w:pPr>
        <w:spacing w:before="163" w:beforeLines="50"/>
        <w:ind w:firstLine="480" w:firstLineChars="200"/>
        <w:rPr>
          <w:rFonts w:ascii="楷体" w:hAnsi="楷体" w:eastAsia="楷体"/>
        </w:rPr>
      </w:pPr>
      <w:r>
        <w:rPr>
          <w:rFonts w:hint="eastAsia" w:ascii="楷体" w:hAnsi="楷体" w:eastAsia="楷体"/>
          <w:bCs/>
        </w:rPr>
        <w:t>注</w:t>
      </w:r>
      <w:r>
        <w:rPr>
          <w:rFonts w:hint="eastAsia" w:ascii="楷体" w:hAnsi="楷体" w:eastAsia="楷体"/>
        </w:rPr>
        <w:t>：主办或协办由主管部门、一级学会或示范中心联席会批准的会议。</w:t>
      </w:r>
      <w:r>
        <w:rPr>
          <w:rFonts w:hint="eastAsia" w:ascii="楷体" w:hAnsi="楷体" w:eastAsia="楷体" w:cs="仿宋_GB2312"/>
        </w:rPr>
        <w:t>请按全球性、</w:t>
      </w:r>
      <w:r>
        <w:rPr>
          <w:rFonts w:hint="eastAsia" w:ascii="楷体" w:hAnsi="楷体" w:eastAsia="楷体"/>
        </w:rPr>
        <w:t>区域性</w:t>
      </w:r>
      <w:r>
        <w:rPr>
          <w:rFonts w:hint="eastAsia" w:ascii="楷体" w:hAnsi="楷体" w:eastAsia="楷体" w:cs="仿宋_GB2312"/>
        </w:rPr>
        <w:t>、双边性、全国性等排序，并在类型栏中标明。</w:t>
      </w:r>
    </w:p>
    <w:p>
      <w:pPr>
        <w:spacing w:before="50" w:after="163" w:afterLines="50"/>
        <w:ind w:firstLine="470" w:firstLineChars="196"/>
        <w:rPr>
          <w:rFonts w:ascii="黑体" w:hAnsi="黑体" w:eastAsia="黑体" w:cs="仿宋_GB2312"/>
        </w:rPr>
      </w:pPr>
      <w:r>
        <w:rPr>
          <w:rFonts w:hint="eastAsia" w:ascii="黑体" w:hAnsi="黑体" w:eastAsia="黑体" w:cs="仿宋_GB2312"/>
        </w:rPr>
        <w:t>3.参加大型会议情况</w:t>
      </w:r>
    </w:p>
    <w:tbl>
      <w:tblPr>
        <w:tblStyle w:val="1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
        <w:gridCol w:w="1948"/>
        <w:gridCol w:w="937"/>
        <w:gridCol w:w="2132"/>
        <w:gridCol w:w="1025"/>
        <w:gridCol w:w="20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blHeader/>
          <w:jc w:val="center"/>
        </w:trPr>
        <w:tc>
          <w:tcPr>
            <w:tcW w:w="267" w:type="pct"/>
            <w:vAlign w:val="center"/>
          </w:tcPr>
          <w:p>
            <w:pPr>
              <w:jc w:val="center"/>
              <w:rPr>
                <w:rFonts w:ascii="黑体" w:hAnsi="黑体" w:eastAsia="黑体"/>
              </w:rPr>
            </w:pPr>
            <w:r>
              <w:rPr>
                <w:rFonts w:hint="eastAsia" w:ascii="黑体" w:hAnsi="黑体" w:eastAsia="黑体" w:cs="宋体"/>
              </w:rPr>
              <w:t>序号</w:t>
            </w:r>
          </w:p>
        </w:tc>
        <w:tc>
          <w:tcPr>
            <w:tcW w:w="1144" w:type="pct"/>
            <w:vAlign w:val="center"/>
          </w:tcPr>
          <w:p>
            <w:pPr>
              <w:jc w:val="center"/>
              <w:rPr>
                <w:rFonts w:ascii="黑体" w:hAnsi="黑体" w:eastAsia="黑体"/>
              </w:rPr>
            </w:pPr>
            <w:r>
              <w:rPr>
                <w:rFonts w:hint="eastAsia" w:ascii="黑体" w:hAnsi="黑体" w:eastAsia="黑体" w:cs="宋体"/>
              </w:rPr>
              <w:t>大会报告名称</w:t>
            </w:r>
          </w:p>
        </w:tc>
        <w:tc>
          <w:tcPr>
            <w:tcW w:w="550" w:type="pct"/>
            <w:vAlign w:val="center"/>
          </w:tcPr>
          <w:p>
            <w:pPr>
              <w:jc w:val="center"/>
              <w:rPr>
                <w:rFonts w:ascii="黑体" w:hAnsi="黑体" w:eastAsia="黑体"/>
              </w:rPr>
            </w:pPr>
            <w:r>
              <w:rPr>
                <w:rFonts w:hint="eastAsia" w:ascii="黑体" w:hAnsi="黑体" w:eastAsia="黑体" w:cs="宋体"/>
              </w:rPr>
              <w:t>报告人</w:t>
            </w:r>
          </w:p>
        </w:tc>
        <w:tc>
          <w:tcPr>
            <w:tcW w:w="1252" w:type="pct"/>
            <w:vAlign w:val="center"/>
          </w:tcPr>
          <w:p>
            <w:pPr>
              <w:jc w:val="center"/>
              <w:rPr>
                <w:rFonts w:ascii="黑体" w:hAnsi="黑体" w:eastAsia="黑体"/>
              </w:rPr>
            </w:pPr>
            <w:r>
              <w:rPr>
                <w:rFonts w:hint="eastAsia" w:ascii="黑体" w:hAnsi="黑体" w:eastAsia="黑体" w:cs="宋体"/>
              </w:rPr>
              <w:t>会议名称</w:t>
            </w:r>
          </w:p>
        </w:tc>
        <w:tc>
          <w:tcPr>
            <w:tcW w:w="602" w:type="pct"/>
            <w:vAlign w:val="center"/>
          </w:tcPr>
          <w:p>
            <w:pPr>
              <w:jc w:val="center"/>
              <w:rPr>
                <w:rFonts w:ascii="黑体" w:hAnsi="黑体" w:eastAsia="黑体"/>
              </w:rPr>
            </w:pPr>
            <w:r>
              <w:rPr>
                <w:rFonts w:hint="eastAsia" w:ascii="黑体" w:hAnsi="黑体" w:eastAsia="黑体" w:cs="宋体"/>
              </w:rPr>
              <w:t>时间</w:t>
            </w:r>
          </w:p>
        </w:tc>
        <w:tc>
          <w:tcPr>
            <w:tcW w:w="1186" w:type="pct"/>
            <w:vAlign w:val="center"/>
          </w:tcPr>
          <w:p>
            <w:pPr>
              <w:jc w:val="center"/>
              <w:rPr>
                <w:rFonts w:ascii="黑体" w:hAnsi="黑体" w:eastAsia="黑体"/>
              </w:rPr>
            </w:pPr>
            <w:r>
              <w:rPr>
                <w:rFonts w:hint="eastAsia" w:ascii="黑体" w:hAnsi="黑体" w:eastAsia="黑体" w:cs="宋体"/>
              </w:rPr>
              <w:t>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数字化与商贸</w:t>
            </w:r>
          </w:p>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未来</w:t>
            </w:r>
          </w:p>
        </w:tc>
        <w:tc>
          <w:tcPr>
            <w:tcW w:w="550" w:type="pct"/>
            <w:vAlign w:val="center"/>
          </w:tcPr>
          <w:p>
            <w:pPr>
              <w:adjustRightInd w:val="0"/>
              <w:snapToGrid w:val="0"/>
              <w:jc w:val="center"/>
              <w:rPr>
                <w:rFonts w:ascii="楷体" w:hAnsi="楷体" w:eastAsia="楷体" w:cs="楷体"/>
              </w:rPr>
            </w:pPr>
            <w:r>
              <w:rPr>
                <w:rFonts w:hint="eastAsia" w:ascii="楷体" w:hAnsi="楷体" w:eastAsia="楷体" w:cs="楷体"/>
              </w:rPr>
              <w:t>付宏</w:t>
            </w:r>
          </w:p>
        </w:tc>
        <w:tc>
          <w:tcPr>
            <w:tcW w:w="125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首届“数字化与商贸未来”国际学术会议</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 7月</w:t>
            </w:r>
          </w:p>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2日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2</w:t>
            </w:r>
          </w:p>
        </w:tc>
        <w:tc>
          <w:tcPr>
            <w:tcW w:w="1144"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加快推动互联互通 建设全国统一碳市场</w:t>
            </w:r>
          </w:p>
        </w:tc>
        <w:tc>
          <w:tcPr>
            <w:tcW w:w="550" w:type="pct"/>
            <w:vAlign w:val="center"/>
          </w:tcPr>
          <w:p>
            <w:pPr>
              <w:adjustRightInd w:val="0"/>
              <w:snapToGrid w:val="0"/>
              <w:jc w:val="center"/>
              <w:rPr>
                <w:rFonts w:ascii="楷体" w:hAnsi="楷体" w:eastAsia="楷体" w:cs="楷体"/>
              </w:rPr>
            </w:pPr>
            <w:r>
              <w:rPr>
                <w:rFonts w:hint="eastAsia" w:ascii="楷体" w:hAnsi="楷体" w:eastAsia="楷体" w:cs="楷体"/>
              </w:rPr>
              <w:t>方洁</w:t>
            </w:r>
          </w:p>
        </w:tc>
        <w:tc>
          <w:tcPr>
            <w:tcW w:w="125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全国碳市场运行一周年的实践，挑战与展望论坛</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7月</w:t>
            </w:r>
          </w:p>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15日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3</w:t>
            </w:r>
          </w:p>
        </w:tc>
        <w:tc>
          <w:tcPr>
            <w:tcW w:w="1144"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人类命运共同体与高等教育可持续发展</w:t>
            </w:r>
          </w:p>
        </w:tc>
        <w:tc>
          <w:tcPr>
            <w:tcW w:w="550" w:type="pct"/>
            <w:vAlign w:val="center"/>
          </w:tcPr>
          <w:p>
            <w:pPr>
              <w:adjustRightInd w:val="0"/>
              <w:snapToGrid w:val="0"/>
              <w:jc w:val="center"/>
              <w:rPr>
                <w:rFonts w:ascii="楷体" w:hAnsi="楷体" w:eastAsia="楷体" w:cs="楷体"/>
              </w:rPr>
            </w:pPr>
            <w:r>
              <w:rPr>
                <w:rFonts w:hint="eastAsia" w:ascii="楷体" w:hAnsi="楷体" w:eastAsia="楷体" w:cs="楷体"/>
              </w:rPr>
              <w:t>方洁</w:t>
            </w:r>
          </w:p>
        </w:tc>
        <w:tc>
          <w:tcPr>
            <w:tcW w:w="125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2022高等教育国际论坛年会</w:t>
            </w:r>
          </w:p>
        </w:tc>
        <w:tc>
          <w:tcPr>
            <w:tcW w:w="60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11月26至27日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4</w:t>
            </w:r>
          </w:p>
        </w:tc>
        <w:tc>
          <w:tcPr>
            <w:tcW w:w="1144"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大协同+深融合+新赋能——经管类实验教学新生态创新与实践</w:t>
            </w:r>
          </w:p>
        </w:tc>
        <w:tc>
          <w:tcPr>
            <w:tcW w:w="550" w:type="pct"/>
            <w:vAlign w:val="center"/>
          </w:tcPr>
          <w:p>
            <w:pPr>
              <w:adjustRightInd w:val="0"/>
              <w:snapToGrid w:val="0"/>
              <w:jc w:val="center"/>
              <w:rPr>
                <w:rFonts w:ascii="楷体" w:hAnsi="楷体" w:eastAsia="楷体" w:cs="楷体"/>
              </w:rPr>
            </w:pPr>
            <w:r>
              <w:rPr>
                <w:rFonts w:hint="eastAsia" w:ascii="楷体" w:hAnsi="楷体" w:eastAsia="楷体" w:cs="楷体"/>
              </w:rPr>
              <w:t>付宏</w:t>
            </w:r>
          </w:p>
        </w:tc>
        <w:tc>
          <w:tcPr>
            <w:tcW w:w="125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第二十三届全国高校经管类专业实验室建设暨经济管理实验教学示范中心建设研讨会</w:t>
            </w:r>
          </w:p>
        </w:tc>
        <w:tc>
          <w:tcPr>
            <w:tcW w:w="60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10月29至30日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石河子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5</w:t>
            </w:r>
          </w:p>
        </w:tc>
        <w:tc>
          <w:tcPr>
            <w:tcW w:w="1144"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日常照料、健康照护与居家失能老人主客观健康——来自CLHLS数据的实证分析</w:t>
            </w:r>
          </w:p>
        </w:tc>
        <w:tc>
          <w:tcPr>
            <w:tcW w:w="550" w:type="pct"/>
            <w:vAlign w:val="center"/>
          </w:tcPr>
          <w:p>
            <w:pPr>
              <w:adjustRightInd w:val="0"/>
              <w:snapToGrid w:val="0"/>
              <w:jc w:val="center"/>
              <w:rPr>
                <w:rFonts w:ascii="楷体" w:hAnsi="楷体" w:eastAsia="楷体" w:cs="楷体"/>
              </w:rPr>
            </w:pPr>
            <w:r>
              <w:rPr>
                <w:rFonts w:hint="eastAsia" w:ascii="楷体" w:hAnsi="楷体" w:eastAsia="楷体" w:cs="楷体"/>
              </w:rPr>
              <w:t>吴敏</w:t>
            </w:r>
          </w:p>
          <w:p>
            <w:pPr>
              <w:adjustRightInd w:val="0"/>
              <w:snapToGrid w:val="0"/>
              <w:jc w:val="center"/>
              <w:rPr>
                <w:rFonts w:ascii="楷体" w:hAnsi="楷体" w:eastAsia="楷体" w:cs="楷体"/>
              </w:rPr>
            </w:pPr>
            <w:r>
              <w:rPr>
                <w:rFonts w:hint="eastAsia" w:ascii="楷体" w:hAnsi="楷体" w:eastAsia="楷体" w:cs="楷体"/>
              </w:rPr>
              <w:t>熊鹰</w:t>
            </w:r>
          </w:p>
        </w:tc>
        <w:tc>
          <w:tcPr>
            <w:tcW w:w="125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湖北省人口学会全体会员大会暨2022年学术年会</w:t>
            </w:r>
          </w:p>
        </w:tc>
        <w:tc>
          <w:tcPr>
            <w:tcW w:w="60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7月9日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6</w:t>
            </w:r>
          </w:p>
        </w:tc>
        <w:tc>
          <w:tcPr>
            <w:tcW w:w="1144"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立足区域经济发展，寻求专业建设突破</w:t>
            </w:r>
          </w:p>
        </w:tc>
        <w:tc>
          <w:tcPr>
            <w:tcW w:w="550"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冷凯君</w:t>
            </w:r>
          </w:p>
        </w:tc>
        <w:tc>
          <w:tcPr>
            <w:tcW w:w="1252"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第三届中国供应链管理年会</w:t>
            </w:r>
          </w:p>
        </w:tc>
        <w:tc>
          <w:tcPr>
            <w:tcW w:w="602" w:type="pct"/>
            <w:vAlign w:val="center"/>
          </w:tcPr>
          <w:p>
            <w:pPr>
              <w:adjustRightInd w:val="0"/>
              <w:snapToGrid w:val="0"/>
              <w:jc w:val="center"/>
              <w:rPr>
                <w:rFonts w:ascii="楷体" w:hAnsi="楷体" w:eastAsia="楷体" w:cs="楷体"/>
                <w:b/>
                <w:bCs/>
              </w:rPr>
            </w:pPr>
            <w:r>
              <w:rPr>
                <w:rFonts w:hint="eastAsia" w:ascii="楷体" w:hAnsi="楷体" w:eastAsia="楷体" w:cs="楷体"/>
                <w:color w:val="333333"/>
                <w:shd w:val="clear" w:color="auto" w:fill="FFFFFF"/>
              </w:rPr>
              <w:t>12月21日-23日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厦门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7</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基于新发展理念的营销创新</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叶敏</w:t>
            </w:r>
          </w:p>
        </w:tc>
        <w:tc>
          <w:tcPr>
            <w:tcW w:w="1252" w:type="pct"/>
            <w:vAlign w:val="center"/>
          </w:tcPr>
          <w:p>
            <w:pPr>
              <w:pStyle w:val="2"/>
              <w:shd w:val="clear" w:color="auto" w:fill="FFFFFF"/>
              <w:spacing w:beforeAutospacing="0" w:afterAutospacing="0"/>
              <w:jc w:val="center"/>
              <w:rPr>
                <w:rFonts w:ascii="楷体" w:hAnsi="楷体" w:eastAsia="楷体" w:cs="楷体"/>
                <w:color w:val="333333"/>
                <w:sz w:val="24"/>
                <w:szCs w:val="24"/>
                <w:shd w:val="clear" w:color="auto" w:fill="FFFFFF"/>
              </w:rPr>
            </w:pPr>
            <w:r>
              <w:rPr>
                <w:rFonts w:hint="eastAsia" w:ascii="楷体" w:hAnsi="楷体" w:eastAsia="楷体" w:cs="楷体"/>
                <w:b w:val="0"/>
                <w:bCs w:val="0"/>
                <w:color w:val="000000" w:themeColor="text1"/>
                <w:sz w:val="24"/>
                <w:szCs w:val="24"/>
                <w:shd w:val="clear" w:color="auto" w:fill="FFFFFF"/>
              </w:rPr>
              <w:t>湖北省市场营销学会2022学术年会</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11月</w:t>
            </w:r>
          </w:p>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19日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8</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数字化审计专长对审计质量的影响研究</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付强</w:t>
            </w:r>
          </w:p>
        </w:tc>
        <w:tc>
          <w:tcPr>
            <w:tcW w:w="1252" w:type="pct"/>
            <w:vAlign w:val="center"/>
          </w:tcPr>
          <w:p>
            <w:pPr>
              <w:pStyle w:val="2"/>
              <w:shd w:val="clear" w:color="auto" w:fill="FFFFFF"/>
              <w:spacing w:beforeAutospacing="0" w:afterAutospacing="0"/>
              <w:jc w:val="center"/>
              <w:rPr>
                <w:rFonts w:ascii="楷体" w:hAnsi="楷体" w:eastAsia="楷体" w:cs="楷体"/>
                <w:b w:val="0"/>
                <w:bCs w:val="0"/>
                <w:color w:val="000000" w:themeColor="text1"/>
                <w:sz w:val="24"/>
                <w:szCs w:val="24"/>
                <w:shd w:val="clear" w:color="auto" w:fill="FFFFFF"/>
              </w:rPr>
            </w:pPr>
            <w:r>
              <w:rPr>
                <w:rFonts w:hint="eastAsia" w:ascii="楷体" w:hAnsi="楷体" w:eastAsia="楷体" w:cs="楷体"/>
                <w:b w:val="0"/>
                <w:bCs w:val="0"/>
                <w:color w:val="333333"/>
                <w:sz w:val="24"/>
                <w:szCs w:val="24"/>
                <w:shd w:val="clear" w:color="auto" w:fill="FFFFFF"/>
              </w:rPr>
              <w:t>2022首届数智会计研究论坛</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11月</w:t>
            </w:r>
          </w:p>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27日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9</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论中国式现代化的思想政治教育意蕴</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赵继伟</w:t>
            </w:r>
          </w:p>
        </w:tc>
        <w:tc>
          <w:tcPr>
            <w:tcW w:w="1252" w:type="pct"/>
            <w:vAlign w:val="center"/>
          </w:tcPr>
          <w:p>
            <w:pPr>
              <w:pStyle w:val="2"/>
              <w:shd w:val="clear" w:color="auto" w:fill="FFFFFF"/>
              <w:spacing w:beforeAutospacing="0" w:afterAutospacing="0"/>
              <w:jc w:val="center"/>
              <w:rPr>
                <w:rFonts w:ascii="楷体" w:hAnsi="楷体" w:eastAsia="楷体" w:cs="楷体"/>
                <w:b w:val="0"/>
                <w:bCs w:val="0"/>
                <w:color w:val="333333"/>
                <w:sz w:val="24"/>
                <w:szCs w:val="24"/>
                <w:shd w:val="clear" w:color="auto" w:fill="FFFFFF"/>
              </w:rPr>
            </w:pPr>
            <w:r>
              <w:rPr>
                <w:rFonts w:hint="eastAsia" w:ascii="楷体" w:hAnsi="楷体" w:eastAsia="楷体" w:cs="楷体"/>
                <w:b w:val="0"/>
                <w:bCs w:val="0"/>
                <w:color w:val="000000"/>
                <w:sz w:val="24"/>
                <w:szCs w:val="24"/>
              </w:rPr>
              <w:t>中国式现代化新道路理论研讨会</w:t>
            </w:r>
          </w:p>
        </w:tc>
        <w:tc>
          <w:tcPr>
            <w:tcW w:w="602" w:type="pct"/>
            <w:vAlign w:val="center"/>
          </w:tcPr>
          <w:p>
            <w:pPr>
              <w:adjustRightInd w:val="0"/>
              <w:snapToGrid w:val="0"/>
              <w:jc w:val="center"/>
              <w:rPr>
                <w:rFonts w:ascii="楷体" w:hAnsi="楷体" w:eastAsia="楷体" w:cs="楷体"/>
                <w:color w:val="000000"/>
              </w:rPr>
            </w:pPr>
            <w:r>
              <w:rPr>
                <w:rFonts w:hint="eastAsia" w:ascii="楷体" w:hAnsi="楷体" w:eastAsia="楷体" w:cs="楷体"/>
                <w:color w:val="000000"/>
              </w:rPr>
              <w:t>11月</w:t>
            </w:r>
          </w:p>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12日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10</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十八大以来中国式现代化的生成逻辑</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赵继伟</w:t>
            </w:r>
          </w:p>
        </w:tc>
        <w:tc>
          <w:tcPr>
            <w:tcW w:w="1252" w:type="pct"/>
            <w:vAlign w:val="center"/>
          </w:tcPr>
          <w:p>
            <w:pPr>
              <w:pStyle w:val="2"/>
              <w:shd w:val="clear" w:color="auto" w:fill="FFFFFF"/>
              <w:spacing w:beforeAutospacing="0" w:afterAutospacing="0"/>
              <w:jc w:val="center"/>
              <w:rPr>
                <w:rFonts w:ascii="楷体" w:hAnsi="楷体" w:eastAsia="楷体" w:cs="楷体"/>
                <w:b w:val="0"/>
                <w:bCs w:val="0"/>
                <w:color w:val="333333"/>
                <w:sz w:val="24"/>
                <w:szCs w:val="24"/>
                <w:shd w:val="clear" w:color="auto" w:fill="FFFFFF"/>
              </w:rPr>
            </w:pPr>
            <w:r>
              <w:rPr>
                <w:rFonts w:hint="eastAsia" w:ascii="楷体" w:hAnsi="楷体" w:eastAsia="楷体" w:cs="楷体"/>
                <w:b w:val="0"/>
                <w:bCs w:val="0"/>
                <w:color w:val="000000"/>
                <w:sz w:val="24"/>
                <w:szCs w:val="24"/>
              </w:rPr>
              <w:t>2022高端国际学术论坛</w:t>
            </w:r>
          </w:p>
        </w:tc>
        <w:tc>
          <w:tcPr>
            <w:tcW w:w="602" w:type="pct"/>
            <w:vAlign w:val="center"/>
          </w:tcPr>
          <w:p>
            <w:pPr>
              <w:adjustRightInd w:val="0"/>
              <w:snapToGrid w:val="0"/>
              <w:jc w:val="center"/>
              <w:rPr>
                <w:rFonts w:ascii="楷体" w:hAnsi="楷体" w:eastAsia="楷体" w:cs="楷体"/>
                <w:color w:val="000000"/>
              </w:rPr>
            </w:pPr>
            <w:r>
              <w:rPr>
                <w:rFonts w:hint="eastAsia" w:ascii="楷体" w:hAnsi="楷体" w:eastAsia="楷体" w:cs="楷体"/>
                <w:color w:val="000000"/>
              </w:rPr>
              <w:t>10月</w:t>
            </w:r>
          </w:p>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29日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11</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21世纪马克思主义的理论内涵、发展主题、多重维度、当代意义、实践路径、未来前景、研究方法，以及21世纪马克思主义学术话语的构建、中国式现代化道路</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马原</w:t>
            </w:r>
          </w:p>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团队</w:t>
            </w:r>
          </w:p>
        </w:tc>
        <w:tc>
          <w:tcPr>
            <w:tcW w:w="1252"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000000"/>
              </w:rPr>
              <w:t>第3次21世纪马克思主义论坛暨“21世纪马克思主义的理论阐释”学术研讨会</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000000"/>
              </w:rPr>
              <w:t>5月8</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线上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12</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信息固本，经管铸魂，建设财经类高校新工科</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田浩</w:t>
            </w:r>
          </w:p>
        </w:tc>
        <w:tc>
          <w:tcPr>
            <w:tcW w:w="1252" w:type="pct"/>
            <w:vAlign w:val="center"/>
          </w:tcPr>
          <w:p>
            <w:pPr>
              <w:pStyle w:val="2"/>
              <w:shd w:val="clear" w:color="auto" w:fill="FFFFFF"/>
              <w:spacing w:beforeAutospacing="0" w:afterAutospacing="0"/>
              <w:jc w:val="center"/>
              <w:rPr>
                <w:rFonts w:ascii="楷体" w:hAnsi="楷体" w:eastAsia="楷体" w:cs="楷体"/>
                <w:b w:val="0"/>
                <w:bCs w:val="0"/>
                <w:color w:val="333333"/>
                <w:sz w:val="24"/>
                <w:szCs w:val="24"/>
                <w:shd w:val="clear" w:color="auto" w:fill="FFFFFF"/>
              </w:rPr>
            </w:pPr>
            <w:r>
              <w:rPr>
                <w:rFonts w:hint="eastAsia" w:ascii="楷体" w:hAnsi="楷体" w:eastAsia="楷体" w:cs="楷体"/>
                <w:b w:val="0"/>
                <w:bCs w:val="0"/>
                <w:color w:val="333333"/>
                <w:sz w:val="24"/>
                <w:szCs w:val="24"/>
                <w:shd w:val="clear" w:color="auto" w:fill="FFFFFF"/>
              </w:rPr>
              <w:t>2022（第三届）中国软件教育年会</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11月5日-6日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桂林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13</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信息类学科发展</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田浩</w:t>
            </w:r>
          </w:p>
        </w:tc>
        <w:tc>
          <w:tcPr>
            <w:tcW w:w="1252" w:type="pct"/>
            <w:vAlign w:val="center"/>
          </w:tcPr>
          <w:p>
            <w:pPr>
              <w:pStyle w:val="2"/>
              <w:shd w:val="clear" w:color="auto" w:fill="FFFFFF"/>
              <w:spacing w:beforeAutospacing="0" w:afterAutospacing="0"/>
              <w:jc w:val="center"/>
              <w:rPr>
                <w:rFonts w:ascii="楷体" w:hAnsi="楷体" w:eastAsia="楷体" w:cs="楷体"/>
                <w:b w:val="0"/>
                <w:bCs w:val="0"/>
                <w:color w:val="333333"/>
                <w:sz w:val="24"/>
                <w:szCs w:val="24"/>
                <w:shd w:val="clear" w:color="auto" w:fill="FFFFFF"/>
              </w:rPr>
            </w:pPr>
            <w:r>
              <w:rPr>
                <w:rFonts w:hint="eastAsia" w:ascii="楷体" w:hAnsi="楷体" w:eastAsia="楷体" w:cs="楷体"/>
                <w:b w:val="0"/>
                <w:bCs w:val="0"/>
                <w:color w:val="333333"/>
                <w:sz w:val="24"/>
                <w:szCs w:val="24"/>
                <w:shd w:val="clear" w:color="auto" w:fill="FFFFFF"/>
              </w:rPr>
              <w:t>湖北高校信息类学院院长论坛</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rPr>
              <w:t>7</w:t>
            </w:r>
            <w:r>
              <w:rPr>
                <w:rFonts w:hint="eastAsia" w:ascii="楷体" w:hAnsi="楷体" w:eastAsia="楷体" w:cs="楷体"/>
                <w:color w:val="333333"/>
                <w:shd w:val="clear" w:color="auto" w:fill="FFFFFF"/>
              </w:rPr>
              <w:t>月</w:t>
            </w:r>
          </w:p>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rPr>
              <w:t>16</w:t>
            </w:r>
            <w:r>
              <w:rPr>
                <w:rFonts w:hint="eastAsia" w:ascii="楷体" w:hAnsi="楷体" w:eastAsia="楷体" w:cs="楷体"/>
                <w:color w:val="333333"/>
                <w:shd w:val="clear" w:color="auto" w:fill="FFFFFF"/>
              </w:rPr>
              <w:t>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8"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14</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中国计算机学会（CCF）第36届计算机应用大会</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李红艳</w:t>
            </w:r>
          </w:p>
        </w:tc>
        <w:tc>
          <w:tcPr>
            <w:tcW w:w="1252" w:type="pct"/>
            <w:vAlign w:val="center"/>
          </w:tcPr>
          <w:p>
            <w:pPr>
              <w:pStyle w:val="2"/>
              <w:shd w:val="clear" w:color="auto" w:fill="FFFFFF"/>
              <w:spacing w:beforeAutospacing="0" w:afterAutospacing="0"/>
              <w:jc w:val="center"/>
              <w:rPr>
                <w:rFonts w:ascii="楷体" w:hAnsi="楷体" w:eastAsia="楷体" w:cs="楷体"/>
                <w:b w:val="0"/>
                <w:bCs w:val="0"/>
                <w:color w:val="333333"/>
                <w:sz w:val="24"/>
                <w:szCs w:val="24"/>
                <w:shd w:val="clear" w:color="auto" w:fill="FFFFFF"/>
              </w:rPr>
            </w:pPr>
            <w:r>
              <w:rPr>
                <w:rFonts w:hint="eastAsia" w:ascii="楷体" w:hAnsi="楷体" w:eastAsia="楷体" w:cs="楷体"/>
                <w:b w:val="0"/>
                <w:bCs w:val="0"/>
                <w:color w:val="333333"/>
                <w:sz w:val="24"/>
                <w:szCs w:val="24"/>
                <w:shd w:val="clear" w:color="auto" w:fill="FFFFFF"/>
              </w:rPr>
              <w:t>中国计算机学会（CCF）第36届计算机应用大会</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10月15-17日</w:t>
            </w:r>
          </w:p>
        </w:tc>
        <w:tc>
          <w:tcPr>
            <w:tcW w:w="1186" w:type="pct"/>
            <w:vAlign w:val="center"/>
          </w:tcPr>
          <w:p>
            <w:pPr>
              <w:adjustRightInd w:val="0"/>
              <w:snapToGrid w:val="0"/>
              <w:jc w:val="center"/>
              <w:rPr>
                <w:rFonts w:ascii="楷体" w:hAnsi="楷体" w:eastAsia="楷体" w:cs="楷体"/>
              </w:rPr>
            </w:pPr>
            <w:r>
              <w:rPr>
                <w:rFonts w:hint="eastAsia" w:ascii="楷体" w:hAnsi="楷体" w:eastAsia="楷体" w:cs="楷体"/>
                <w:color w:val="333333"/>
                <w:shd w:val="clear" w:color="auto" w:fill="FFFFFF"/>
              </w:rPr>
              <w:t>江苏·镇江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15</w:t>
            </w:r>
          </w:p>
        </w:tc>
        <w:tc>
          <w:tcPr>
            <w:tcW w:w="1144"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再谈经管类实验教学体系的重构与创新</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任晓阳</w:t>
            </w:r>
          </w:p>
        </w:tc>
        <w:tc>
          <w:tcPr>
            <w:tcW w:w="1252" w:type="pct"/>
            <w:vAlign w:val="center"/>
          </w:tcPr>
          <w:p>
            <w:pPr>
              <w:pStyle w:val="2"/>
              <w:shd w:val="clear" w:color="auto" w:fill="FFFFFF"/>
              <w:spacing w:beforeAutospacing="0" w:afterAutospacing="0"/>
              <w:jc w:val="both"/>
              <w:rPr>
                <w:rFonts w:ascii="楷体" w:hAnsi="楷体" w:eastAsia="楷体" w:cs="楷体"/>
                <w:b w:val="0"/>
                <w:bCs w:val="0"/>
                <w:color w:val="333333"/>
                <w:kern w:val="2"/>
                <w:sz w:val="24"/>
                <w:szCs w:val="24"/>
                <w:shd w:val="clear" w:color="auto" w:fill="FFFFFF"/>
              </w:rPr>
            </w:pPr>
            <w:r>
              <w:rPr>
                <w:rFonts w:hint="eastAsia" w:ascii="楷体" w:hAnsi="楷体" w:eastAsia="楷体" w:cs="楷体"/>
                <w:b w:val="0"/>
                <w:bCs w:val="0"/>
                <w:color w:val="333333"/>
                <w:kern w:val="2"/>
                <w:sz w:val="24"/>
                <w:szCs w:val="24"/>
                <w:shd w:val="clear" w:color="auto" w:fill="FFFFFF"/>
              </w:rPr>
              <w:t>湖北省高校经济管理实验教学示范中心联席会第十二届年会暨新商科背景下经济管理实验教学创新研讨会</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12月10日</w:t>
            </w:r>
          </w:p>
        </w:tc>
        <w:tc>
          <w:tcPr>
            <w:tcW w:w="1186"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武汉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67" w:type="pct"/>
            <w:vAlign w:val="center"/>
          </w:tcPr>
          <w:p>
            <w:pPr>
              <w:adjustRightInd w:val="0"/>
              <w:snapToGrid w:val="0"/>
              <w:jc w:val="center"/>
              <w:rPr>
                <w:rFonts w:ascii="楷体" w:hAnsi="楷体" w:eastAsia="楷体" w:cs="楷体"/>
              </w:rPr>
            </w:pPr>
            <w:r>
              <w:rPr>
                <w:rFonts w:hint="eastAsia" w:ascii="楷体" w:hAnsi="楷体" w:eastAsia="楷体" w:cs="楷体"/>
              </w:rPr>
              <w:t>16</w:t>
            </w:r>
          </w:p>
        </w:tc>
        <w:tc>
          <w:tcPr>
            <w:tcW w:w="1144" w:type="pct"/>
            <w:vAlign w:val="center"/>
          </w:tcPr>
          <w:p>
            <w:pPr>
              <w:adjustRightInd w:val="0"/>
              <w:snapToGrid w:val="0"/>
              <w:jc w:val="center"/>
              <w:rPr>
                <w:rFonts w:ascii="楷体" w:hAnsi="楷体" w:eastAsia="楷体" w:cs="楷体"/>
                <w:color w:val="000000"/>
              </w:rPr>
            </w:pPr>
            <w:r>
              <w:rPr>
                <w:rFonts w:hint="eastAsia" w:ascii="楷体" w:hAnsi="楷体" w:eastAsia="楷体" w:cs="楷体"/>
                <w:color w:val="333333"/>
                <w:shd w:val="clear" w:color="auto" w:fill="FFFFFF"/>
              </w:rPr>
              <w:t>新时代大学生劳动教育”的理论探索与实践经验</w:t>
            </w:r>
          </w:p>
        </w:tc>
        <w:tc>
          <w:tcPr>
            <w:tcW w:w="550"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姚和平</w:t>
            </w:r>
          </w:p>
        </w:tc>
        <w:tc>
          <w:tcPr>
            <w:tcW w:w="1252" w:type="pct"/>
            <w:vAlign w:val="center"/>
          </w:tcPr>
          <w:p>
            <w:pPr>
              <w:pStyle w:val="2"/>
              <w:shd w:val="clear" w:color="auto" w:fill="FFFFFF"/>
              <w:spacing w:beforeAutospacing="0" w:afterAutospacing="0"/>
              <w:jc w:val="both"/>
              <w:rPr>
                <w:rFonts w:ascii="楷体" w:hAnsi="楷体" w:eastAsia="楷体" w:cs="楷体"/>
                <w:b w:val="0"/>
                <w:bCs w:val="0"/>
                <w:color w:val="333333"/>
                <w:sz w:val="24"/>
                <w:szCs w:val="24"/>
                <w:shd w:val="clear" w:color="auto" w:fill="FFFFFF"/>
              </w:rPr>
            </w:pPr>
            <w:r>
              <w:rPr>
                <w:rFonts w:hint="eastAsia" w:ascii="楷体" w:hAnsi="楷体" w:eastAsia="楷体" w:cs="楷体"/>
                <w:b w:val="0"/>
                <w:bCs w:val="0"/>
                <w:color w:val="333333"/>
                <w:sz w:val="24"/>
                <w:szCs w:val="24"/>
                <w:shd w:val="clear" w:color="auto" w:fill="FFFFFF"/>
              </w:rPr>
              <w:t>湖北省素质教育研究会高等教育分会2021年会暨第四届大学素质教育高峰论坛</w:t>
            </w:r>
          </w:p>
        </w:tc>
        <w:tc>
          <w:tcPr>
            <w:tcW w:w="602"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1月1日</w:t>
            </w:r>
          </w:p>
        </w:tc>
        <w:tc>
          <w:tcPr>
            <w:tcW w:w="1186" w:type="pct"/>
            <w:vAlign w:val="center"/>
          </w:tcPr>
          <w:p>
            <w:pPr>
              <w:adjustRightInd w:val="0"/>
              <w:snapToGrid w:val="0"/>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襄阳</w:t>
            </w:r>
          </w:p>
        </w:tc>
      </w:tr>
    </w:tbl>
    <w:p>
      <w:pPr>
        <w:spacing w:before="163" w:beforeLines="50"/>
        <w:ind w:firstLine="480" w:firstLineChars="200"/>
        <w:rPr>
          <w:rFonts w:ascii="楷体" w:hAnsi="楷体" w:eastAsia="楷体"/>
        </w:rPr>
      </w:pPr>
      <w:r>
        <w:rPr>
          <w:rFonts w:hint="eastAsia" w:ascii="楷体" w:hAnsi="楷体" w:eastAsia="楷体" w:cs="仿宋_GB2312"/>
          <w:bCs/>
        </w:rPr>
        <w:t>注：大会报告：</w:t>
      </w:r>
      <w:r>
        <w:rPr>
          <w:rFonts w:hint="eastAsia" w:ascii="楷体" w:hAnsi="楷体" w:eastAsia="楷体" w:cs="仿宋_GB2312"/>
        </w:rPr>
        <w:t>指特邀报告。</w:t>
      </w:r>
    </w:p>
    <w:p>
      <w:pPr>
        <w:spacing w:before="50" w:after="163" w:afterLines="50"/>
        <w:ind w:firstLine="480" w:firstLineChars="200"/>
        <w:rPr>
          <w:rFonts w:ascii="黑体" w:hAnsi="黑体" w:eastAsia="黑体" w:cs="仿宋_GB2312"/>
        </w:rPr>
      </w:pPr>
      <w:r>
        <w:rPr>
          <w:rFonts w:hint="eastAsia" w:ascii="黑体" w:hAnsi="黑体" w:eastAsia="黑体" w:cs="仿宋_GB2312"/>
        </w:rPr>
        <w:t>4.承办竞赛情况</w:t>
      </w:r>
    </w:p>
    <w:p>
      <w:pPr>
        <w:spacing w:before="163" w:beforeLines="50"/>
        <w:ind w:firstLine="480" w:firstLineChars="200"/>
        <w:rPr>
          <w:rFonts w:ascii="楷体" w:hAnsi="楷体" w:eastAsia="楷体"/>
          <w:bCs/>
        </w:rPr>
      </w:pPr>
    </w:p>
    <w:tbl>
      <w:tblPr>
        <w:tblStyle w:val="11"/>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06"/>
        <w:gridCol w:w="1770"/>
        <w:gridCol w:w="809"/>
        <w:gridCol w:w="749"/>
        <w:gridCol w:w="1001"/>
        <w:gridCol w:w="904"/>
        <w:gridCol w:w="1569"/>
        <w:gridCol w:w="12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2" w:hRule="atLeast"/>
          <w:tblHeader/>
          <w:jc w:val="center"/>
        </w:trPr>
        <w:tc>
          <w:tcPr>
            <w:tcW w:w="297" w:type="pct"/>
            <w:vAlign w:val="center"/>
          </w:tcPr>
          <w:p>
            <w:pPr>
              <w:ind w:left="-120" w:leftChars="-50" w:right="-120" w:rightChars="-50"/>
              <w:jc w:val="center"/>
              <w:rPr>
                <w:rFonts w:ascii="黑体" w:hAnsi="黑体" w:eastAsia="黑体"/>
              </w:rPr>
            </w:pPr>
            <w:r>
              <w:rPr>
                <w:rFonts w:hint="eastAsia" w:ascii="黑体" w:hAnsi="黑体" w:eastAsia="黑体" w:cs="宋体"/>
              </w:rPr>
              <w:t>序号</w:t>
            </w:r>
          </w:p>
        </w:tc>
        <w:tc>
          <w:tcPr>
            <w:tcW w:w="1039" w:type="pct"/>
            <w:vAlign w:val="center"/>
          </w:tcPr>
          <w:p>
            <w:pPr>
              <w:jc w:val="center"/>
              <w:rPr>
                <w:rFonts w:ascii="黑体" w:hAnsi="黑体" w:eastAsia="黑体"/>
              </w:rPr>
            </w:pPr>
            <w:r>
              <w:rPr>
                <w:rFonts w:hint="eastAsia" w:ascii="黑体" w:hAnsi="黑体" w:eastAsia="黑体" w:cs="宋体"/>
              </w:rPr>
              <w:t>竞赛名称</w:t>
            </w:r>
          </w:p>
        </w:tc>
        <w:tc>
          <w:tcPr>
            <w:tcW w:w="475" w:type="pct"/>
            <w:vAlign w:val="center"/>
          </w:tcPr>
          <w:p>
            <w:pPr>
              <w:jc w:val="center"/>
              <w:rPr>
                <w:rFonts w:ascii="黑体" w:hAnsi="黑体" w:eastAsia="黑体"/>
              </w:rPr>
            </w:pPr>
            <w:r>
              <w:rPr>
                <w:rFonts w:hint="eastAsia" w:ascii="黑体" w:hAnsi="黑体" w:eastAsia="黑体"/>
              </w:rPr>
              <w:t>竞赛级别</w:t>
            </w:r>
          </w:p>
        </w:tc>
        <w:tc>
          <w:tcPr>
            <w:tcW w:w="440" w:type="pct"/>
            <w:vAlign w:val="center"/>
          </w:tcPr>
          <w:p>
            <w:pPr>
              <w:jc w:val="center"/>
              <w:rPr>
                <w:rFonts w:ascii="黑体" w:hAnsi="黑体" w:eastAsia="黑体"/>
              </w:rPr>
            </w:pPr>
            <w:r>
              <w:rPr>
                <w:rFonts w:hint="eastAsia" w:ascii="黑体" w:hAnsi="黑体" w:eastAsia="黑体"/>
              </w:rPr>
              <w:t>参赛人数</w:t>
            </w:r>
          </w:p>
        </w:tc>
        <w:tc>
          <w:tcPr>
            <w:tcW w:w="588" w:type="pct"/>
            <w:vAlign w:val="center"/>
          </w:tcPr>
          <w:p>
            <w:pPr>
              <w:jc w:val="center"/>
              <w:rPr>
                <w:rFonts w:ascii="黑体" w:hAnsi="黑体" w:eastAsia="黑体"/>
              </w:rPr>
            </w:pPr>
            <w:r>
              <w:rPr>
                <w:rFonts w:hint="eastAsia" w:ascii="黑体" w:hAnsi="黑体" w:eastAsia="黑体" w:cs="宋体"/>
              </w:rPr>
              <w:t>负责人</w:t>
            </w:r>
          </w:p>
        </w:tc>
        <w:tc>
          <w:tcPr>
            <w:tcW w:w="531" w:type="pct"/>
            <w:vAlign w:val="center"/>
          </w:tcPr>
          <w:p>
            <w:pPr>
              <w:jc w:val="center"/>
              <w:rPr>
                <w:rFonts w:ascii="黑体" w:hAnsi="黑体" w:eastAsia="黑体"/>
              </w:rPr>
            </w:pPr>
            <w:r>
              <w:rPr>
                <w:rFonts w:hint="eastAsia" w:ascii="黑体" w:hAnsi="黑体" w:eastAsia="黑体" w:cs="宋体"/>
              </w:rPr>
              <w:t>职称</w:t>
            </w:r>
          </w:p>
        </w:tc>
        <w:tc>
          <w:tcPr>
            <w:tcW w:w="921" w:type="pct"/>
            <w:vAlign w:val="center"/>
          </w:tcPr>
          <w:p>
            <w:pPr>
              <w:jc w:val="center"/>
              <w:rPr>
                <w:rFonts w:ascii="黑体" w:hAnsi="黑体" w:eastAsia="黑体"/>
              </w:rPr>
            </w:pPr>
            <w:r>
              <w:rPr>
                <w:rFonts w:hint="eastAsia" w:ascii="黑体" w:hAnsi="黑体" w:eastAsia="黑体" w:cs="宋体"/>
              </w:rPr>
              <w:t>起止时间</w:t>
            </w:r>
          </w:p>
        </w:tc>
        <w:tc>
          <w:tcPr>
            <w:tcW w:w="709" w:type="pct"/>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1</w:t>
            </w:r>
          </w:p>
        </w:tc>
        <w:tc>
          <w:tcPr>
            <w:tcW w:w="1039"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第十二届全国大学生电子商务“创新、创意及创业”挑战赛全国</w:t>
            </w:r>
          </w:p>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总决赛</w:t>
            </w:r>
          </w:p>
        </w:tc>
        <w:tc>
          <w:tcPr>
            <w:tcW w:w="475"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国家级</w:t>
            </w:r>
          </w:p>
        </w:tc>
        <w:tc>
          <w:tcPr>
            <w:tcW w:w="440"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1200</w:t>
            </w:r>
          </w:p>
        </w:tc>
        <w:tc>
          <w:tcPr>
            <w:tcW w:w="588"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毛志斌</w:t>
            </w:r>
          </w:p>
        </w:tc>
        <w:tc>
          <w:tcPr>
            <w:tcW w:w="531"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正高级实验师</w:t>
            </w:r>
          </w:p>
        </w:tc>
        <w:tc>
          <w:tcPr>
            <w:tcW w:w="921"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7月21-24日</w:t>
            </w:r>
          </w:p>
        </w:tc>
        <w:tc>
          <w:tcPr>
            <w:tcW w:w="709" w:type="pct"/>
            <w:vAlign w:val="center"/>
          </w:tcPr>
          <w:p>
            <w:pPr>
              <w:jc w:val="center"/>
              <w:rPr>
                <w:rFonts w:ascii="楷体" w:hAnsi="楷体" w:eastAsia="楷体" w:cs="楷体"/>
                <w:bCs/>
              </w:rPr>
            </w:pPr>
            <w:r>
              <w:rPr>
                <w:rFonts w:hint="eastAsia" w:ascii="楷体" w:hAnsi="楷体" w:eastAsia="楷体" w:cs="楷体"/>
                <w:bCs/>
              </w:rPr>
              <w:t>10万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4"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2</w:t>
            </w:r>
          </w:p>
        </w:tc>
        <w:tc>
          <w:tcPr>
            <w:tcW w:w="1039"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第八届“互联网＋”大学生创新创业大赛校赛金奖</w:t>
            </w:r>
          </w:p>
          <w:p>
            <w:pPr>
              <w:jc w:val="center"/>
              <w:rPr>
                <w:rFonts w:ascii="楷体" w:hAnsi="楷体" w:eastAsia="楷体" w:cs="楷体"/>
                <w:bCs/>
              </w:rPr>
            </w:pPr>
            <w:r>
              <w:rPr>
                <w:rFonts w:hint="eastAsia" w:ascii="楷体" w:hAnsi="楷体" w:eastAsia="楷体" w:cs="楷体"/>
                <w:color w:val="333333"/>
                <w:shd w:val="clear" w:color="auto" w:fill="FFFFFF"/>
              </w:rPr>
              <w:t>排位赛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1000</w:t>
            </w:r>
          </w:p>
        </w:tc>
        <w:tc>
          <w:tcPr>
            <w:tcW w:w="588" w:type="pct"/>
            <w:vAlign w:val="center"/>
          </w:tcPr>
          <w:p>
            <w:pPr>
              <w:jc w:val="center"/>
              <w:rPr>
                <w:rFonts w:ascii="楷体" w:hAnsi="楷体" w:eastAsia="楷体" w:cs="楷体"/>
                <w:bCs/>
              </w:rPr>
            </w:pPr>
            <w:r>
              <w:rPr>
                <w:rFonts w:hint="eastAsia" w:ascii="楷体" w:hAnsi="楷体" w:eastAsia="楷体" w:cs="楷体"/>
                <w:bCs/>
              </w:rPr>
              <w:t>付宏</w:t>
            </w:r>
          </w:p>
        </w:tc>
        <w:tc>
          <w:tcPr>
            <w:tcW w:w="531" w:type="pct"/>
            <w:vAlign w:val="center"/>
          </w:tcPr>
          <w:p>
            <w:pPr>
              <w:jc w:val="center"/>
              <w:rPr>
                <w:rFonts w:ascii="楷体" w:hAnsi="楷体" w:eastAsia="楷体" w:cs="楷体"/>
                <w:bCs/>
              </w:rPr>
            </w:pPr>
            <w:r>
              <w:rPr>
                <w:rFonts w:hint="eastAsia" w:ascii="楷体" w:hAnsi="楷体" w:eastAsia="楷体" w:cs="楷体"/>
                <w:bCs/>
              </w:rPr>
              <w:t>副校长</w:t>
            </w:r>
          </w:p>
        </w:tc>
        <w:tc>
          <w:tcPr>
            <w:tcW w:w="921" w:type="pct"/>
            <w:vAlign w:val="center"/>
          </w:tcPr>
          <w:p>
            <w:pPr>
              <w:jc w:val="center"/>
              <w:rPr>
                <w:rFonts w:ascii="楷体" w:hAnsi="楷体" w:eastAsia="楷体" w:cs="楷体"/>
                <w:bCs/>
              </w:rPr>
            </w:pPr>
            <w:r>
              <w:rPr>
                <w:rFonts w:hint="eastAsia" w:ascii="楷体" w:hAnsi="楷体" w:eastAsia="楷体" w:cs="楷体"/>
                <w:color w:val="333333"/>
                <w:shd w:val="clear" w:color="auto" w:fill="FFFFFF"/>
              </w:rPr>
              <w:t>6月26日</w:t>
            </w:r>
          </w:p>
        </w:tc>
        <w:tc>
          <w:tcPr>
            <w:tcW w:w="709" w:type="pct"/>
            <w:vAlign w:val="center"/>
          </w:tcPr>
          <w:p>
            <w:pPr>
              <w:jc w:val="center"/>
              <w:rPr>
                <w:rFonts w:ascii="楷体" w:hAnsi="楷体" w:eastAsia="楷体" w:cs="楷体"/>
                <w:bCs/>
              </w:rPr>
            </w:pPr>
            <w:r>
              <w:rPr>
                <w:rFonts w:hint="eastAsia" w:ascii="楷体" w:hAnsi="楷体" w:eastAsia="楷体" w:cs="楷体"/>
                <w:bCs/>
              </w:rPr>
              <w:t>10万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090"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3</w:t>
            </w:r>
          </w:p>
        </w:tc>
        <w:tc>
          <w:tcPr>
            <w:tcW w:w="1039" w:type="pct"/>
            <w:vAlign w:val="center"/>
          </w:tcPr>
          <w:p>
            <w:pPr>
              <w:jc w:val="center"/>
              <w:rPr>
                <w:rFonts w:ascii="楷体" w:hAnsi="楷体" w:eastAsia="楷体" w:cs="楷体"/>
                <w:bCs/>
              </w:rPr>
            </w:pPr>
            <w:r>
              <w:rPr>
                <w:rFonts w:hint="eastAsia" w:ascii="楷体" w:hAnsi="楷体" w:eastAsia="楷体" w:cs="楷体"/>
                <w:color w:val="333333"/>
                <w:shd w:val="clear" w:color="auto" w:fill="FFFFFF"/>
              </w:rPr>
              <w:t>挑战杯”大学生创业计划竞赛校级决赛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50</w:t>
            </w:r>
          </w:p>
        </w:tc>
        <w:tc>
          <w:tcPr>
            <w:tcW w:w="588" w:type="pct"/>
            <w:vAlign w:val="center"/>
          </w:tcPr>
          <w:p>
            <w:pPr>
              <w:jc w:val="center"/>
              <w:rPr>
                <w:rFonts w:ascii="楷体" w:hAnsi="楷体" w:eastAsia="楷体" w:cs="楷体"/>
                <w:bCs/>
              </w:rPr>
            </w:pPr>
            <w:r>
              <w:rPr>
                <w:rFonts w:hint="eastAsia" w:ascii="楷体" w:hAnsi="楷体" w:eastAsia="楷体" w:cs="楷体"/>
                <w:bCs/>
              </w:rPr>
              <w:t>付宏</w:t>
            </w:r>
          </w:p>
        </w:tc>
        <w:tc>
          <w:tcPr>
            <w:tcW w:w="531" w:type="pct"/>
            <w:vAlign w:val="center"/>
          </w:tcPr>
          <w:p>
            <w:pPr>
              <w:jc w:val="center"/>
              <w:rPr>
                <w:rFonts w:ascii="楷体" w:hAnsi="楷体" w:eastAsia="楷体" w:cs="楷体"/>
                <w:bCs/>
              </w:rPr>
            </w:pPr>
            <w:r>
              <w:rPr>
                <w:rFonts w:hint="eastAsia" w:ascii="楷体" w:hAnsi="楷体" w:eastAsia="楷体" w:cs="楷体"/>
                <w:bCs/>
              </w:rPr>
              <w:t>副校长</w:t>
            </w:r>
          </w:p>
        </w:tc>
        <w:tc>
          <w:tcPr>
            <w:tcW w:w="921" w:type="pct"/>
            <w:vAlign w:val="center"/>
          </w:tcPr>
          <w:p>
            <w:pPr>
              <w:jc w:val="center"/>
              <w:rPr>
                <w:rFonts w:ascii="楷体" w:hAnsi="楷体" w:eastAsia="楷体" w:cs="楷体"/>
                <w:bCs/>
              </w:rPr>
            </w:pPr>
            <w:r>
              <w:rPr>
                <w:rFonts w:hint="eastAsia" w:ascii="楷体" w:hAnsi="楷体" w:eastAsia="楷体" w:cs="楷体"/>
                <w:bCs/>
              </w:rPr>
              <w:t>5月24日</w:t>
            </w:r>
          </w:p>
        </w:tc>
        <w:tc>
          <w:tcPr>
            <w:tcW w:w="709" w:type="pct"/>
            <w:vAlign w:val="center"/>
          </w:tcPr>
          <w:p>
            <w:pPr>
              <w:jc w:val="center"/>
              <w:rPr>
                <w:rFonts w:ascii="楷体" w:hAnsi="楷体" w:eastAsia="楷体" w:cs="楷体"/>
                <w:bCs/>
              </w:rPr>
            </w:pPr>
            <w:r>
              <w:rPr>
                <w:rFonts w:hint="eastAsia" w:ascii="楷体" w:hAnsi="楷体" w:eastAsia="楷体" w:cs="楷体"/>
                <w:bCs/>
              </w:rPr>
              <w:t>10万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4</w:t>
            </w:r>
          </w:p>
        </w:tc>
        <w:tc>
          <w:tcPr>
            <w:tcW w:w="1039"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第十二届全国大学生电子商务“创新创意创业”挑战赛校级选拔赛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1000</w:t>
            </w:r>
          </w:p>
        </w:tc>
        <w:tc>
          <w:tcPr>
            <w:tcW w:w="588" w:type="pct"/>
            <w:vAlign w:val="center"/>
          </w:tcPr>
          <w:p>
            <w:pPr>
              <w:jc w:val="center"/>
              <w:rPr>
                <w:rFonts w:ascii="楷体" w:hAnsi="楷体" w:eastAsia="楷体" w:cs="楷体"/>
                <w:bCs/>
              </w:rPr>
            </w:pPr>
            <w:r>
              <w:rPr>
                <w:rFonts w:hint="eastAsia" w:ascii="楷体" w:hAnsi="楷体" w:eastAsia="楷体" w:cs="楷体"/>
                <w:bCs/>
              </w:rPr>
              <w:t>付宏</w:t>
            </w:r>
          </w:p>
        </w:tc>
        <w:tc>
          <w:tcPr>
            <w:tcW w:w="531" w:type="pct"/>
            <w:vAlign w:val="center"/>
          </w:tcPr>
          <w:p>
            <w:pPr>
              <w:jc w:val="center"/>
              <w:rPr>
                <w:rFonts w:ascii="楷体" w:hAnsi="楷体" w:eastAsia="楷体" w:cs="楷体"/>
                <w:bCs/>
              </w:rPr>
            </w:pPr>
            <w:r>
              <w:rPr>
                <w:rFonts w:hint="eastAsia" w:ascii="楷体" w:hAnsi="楷体" w:eastAsia="楷体" w:cs="楷体"/>
                <w:bCs/>
              </w:rPr>
              <w:t>副校长</w:t>
            </w:r>
          </w:p>
        </w:tc>
        <w:tc>
          <w:tcPr>
            <w:tcW w:w="921" w:type="pct"/>
            <w:vAlign w:val="center"/>
          </w:tcPr>
          <w:p>
            <w:pPr>
              <w:jc w:val="center"/>
              <w:rPr>
                <w:rFonts w:ascii="楷体" w:hAnsi="楷体" w:eastAsia="楷体" w:cs="楷体"/>
                <w:bCs/>
              </w:rPr>
            </w:pPr>
            <w:r>
              <w:rPr>
                <w:rFonts w:hint="eastAsia" w:ascii="楷体" w:hAnsi="楷体" w:eastAsia="楷体" w:cs="楷体"/>
                <w:color w:val="333333"/>
                <w:shd w:val="clear" w:color="auto" w:fill="FFFFFF"/>
              </w:rPr>
              <w:t>4月23日</w:t>
            </w:r>
          </w:p>
        </w:tc>
        <w:tc>
          <w:tcPr>
            <w:tcW w:w="709" w:type="pct"/>
            <w:vAlign w:val="center"/>
          </w:tcPr>
          <w:p>
            <w:pPr>
              <w:jc w:val="center"/>
              <w:rPr>
                <w:rFonts w:ascii="楷体" w:hAnsi="楷体" w:eastAsia="楷体" w:cs="楷体"/>
                <w:bCs/>
              </w:rPr>
            </w:pPr>
            <w:r>
              <w:rPr>
                <w:rFonts w:hint="eastAsia" w:ascii="楷体" w:hAnsi="楷体" w:eastAsia="楷体" w:cs="楷体"/>
                <w:bCs/>
              </w:rPr>
              <w:t>10万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45"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5</w:t>
            </w:r>
          </w:p>
        </w:tc>
        <w:tc>
          <w:tcPr>
            <w:tcW w:w="1039"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2022年第九届“学创杯”全国大学生创业综合模拟大赛湖北经济学院校级选拔赛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120</w:t>
            </w:r>
          </w:p>
        </w:tc>
        <w:tc>
          <w:tcPr>
            <w:tcW w:w="588" w:type="pct"/>
            <w:vAlign w:val="center"/>
          </w:tcPr>
          <w:p>
            <w:pPr>
              <w:jc w:val="center"/>
              <w:rPr>
                <w:rFonts w:ascii="楷体" w:hAnsi="楷体" w:eastAsia="楷体" w:cs="楷体"/>
                <w:bCs/>
              </w:rPr>
            </w:pPr>
            <w:r>
              <w:rPr>
                <w:rFonts w:hint="eastAsia" w:ascii="楷体" w:hAnsi="楷体" w:eastAsia="楷体" w:cs="楷体"/>
              </w:rPr>
              <w:t>靳洪</w:t>
            </w:r>
          </w:p>
        </w:tc>
        <w:tc>
          <w:tcPr>
            <w:tcW w:w="531" w:type="pct"/>
            <w:vAlign w:val="center"/>
          </w:tcPr>
          <w:p>
            <w:pPr>
              <w:jc w:val="center"/>
              <w:rPr>
                <w:rFonts w:ascii="楷体" w:hAnsi="楷体" w:eastAsia="楷体" w:cs="楷体"/>
                <w:bCs/>
              </w:rPr>
            </w:pPr>
            <w:r>
              <w:rPr>
                <w:rFonts w:hint="eastAsia" w:ascii="楷体" w:hAnsi="楷体" w:eastAsia="楷体" w:cs="楷体"/>
              </w:rPr>
              <w:t>正高级实验师</w:t>
            </w:r>
          </w:p>
        </w:tc>
        <w:tc>
          <w:tcPr>
            <w:tcW w:w="921"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5月19日</w:t>
            </w:r>
          </w:p>
        </w:tc>
        <w:tc>
          <w:tcPr>
            <w:tcW w:w="709" w:type="pct"/>
            <w:vAlign w:val="center"/>
          </w:tcPr>
          <w:p>
            <w:pPr>
              <w:jc w:val="center"/>
              <w:rPr>
                <w:rFonts w:ascii="楷体" w:hAnsi="楷体" w:eastAsia="楷体" w:cs="楷体"/>
                <w:bCs/>
              </w:rPr>
            </w:pPr>
            <w:r>
              <w:rPr>
                <w:rFonts w:hint="eastAsia" w:ascii="楷体" w:hAnsi="楷体" w:eastAsia="楷体" w:cs="楷体"/>
                <w:bCs/>
              </w:rPr>
              <w:t>1万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6</w:t>
            </w:r>
          </w:p>
        </w:tc>
        <w:tc>
          <w:tcPr>
            <w:tcW w:w="1039"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000000"/>
                <w:shd w:val="clear" w:color="auto" w:fill="FFFFFF"/>
              </w:rPr>
              <w:t>首届湖北省高校旅游管理类专业创新案例大赛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100</w:t>
            </w:r>
          </w:p>
        </w:tc>
        <w:tc>
          <w:tcPr>
            <w:tcW w:w="588" w:type="pct"/>
            <w:vAlign w:val="center"/>
          </w:tcPr>
          <w:p>
            <w:pPr>
              <w:jc w:val="center"/>
              <w:rPr>
                <w:rFonts w:ascii="楷体" w:hAnsi="楷体" w:eastAsia="楷体" w:cs="楷体"/>
                <w:bCs/>
              </w:rPr>
            </w:pPr>
            <w:r>
              <w:rPr>
                <w:rFonts w:hint="eastAsia" w:ascii="楷体" w:hAnsi="楷体" w:eastAsia="楷体" w:cs="楷体"/>
                <w:color w:val="000000"/>
                <w:shd w:val="clear" w:color="auto" w:fill="FFFFFF"/>
              </w:rPr>
              <w:t>蒋昕副</w:t>
            </w:r>
          </w:p>
        </w:tc>
        <w:tc>
          <w:tcPr>
            <w:tcW w:w="531" w:type="pct"/>
            <w:vAlign w:val="center"/>
          </w:tcPr>
          <w:p>
            <w:pPr>
              <w:jc w:val="center"/>
              <w:rPr>
                <w:rFonts w:ascii="楷体" w:hAnsi="楷体" w:eastAsia="楷体" w:cs="楷体"/>
                <w:bCs/>
              </w:rPr>
            </w:pPr>
            <w:r>
              <w:rPr>
                <w:rFonts w:hint="eastAsia" w:ascii="楷体" w:hAnsi="楷体" w:eastAsia="楷体" w:cs="楷体"/>
                <w:bCs/>
              </w:rPr>
              <w:t>教授</w:t>
            </w:r>
          </w:p>
        </w:tc>
        <w:tc>
          <w:tcPr>
            <w:tcW w:w="921"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000000"/>
                <w:shd w:val="clear" w:color="auto" w:fill="FFFFFF"/>
              </w:rPr>
              <w:t>12月11日</w:t>
            </w:r>
          </w:p>
        </w:tc>
        <w:tc>
          <w:tcPr>
            <w:tcW w:w="709" w:type="pct"/>
            <w:vAlign w:val="center"/>
          </w:tcPr>
          <w:p>
            <w:pPr>
              <w:jc w:val="center"/>
              <w:rPr>
                <w:rFonts w:ascii="楷体" w:hAnsi="楷体" w:eastAsia="楷体" w:cs="楷体"/>
                <w:bCs/>
              </w:rPr>
            </w:pPr>
            <w:r>
              <w:rPr>
                <w:rFonts w:hint="eastAsia" w:ascii="楷体" w:hAnsi="楷体" w:eastAsia="楷体" w:cs="楷体"/>
                <w:bCs/>
              </w:rPr>
              <w:t>1万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7</w:t>
            </w:r>
          </w:p>
        </w:tc>
        <w:tc>
          <w:tcPr>
            <w:tcW w:w="1039" w:type="pct"/>
            <w:vAlign w:val="center"/>
          </w:tcPr>
          <w:p>
            <w:pPr>
              <w:jc w:val="center"/>
              <w:rPr>
                <w:rFonts w:ascii="楷体" w:hAnsi="楷体" w:eastAsia="楷体" w:cs="楷体"/>
                <w:color w:val="000000"/>
                <w:shd w:val="clear" w:color="auto" w:fill="FFFFFF"/>
              </w:rPr>
            </w:pPr>
            <w:r>
              <w:rPr>
                <w:rFonts w:hint="eastAsia" w:ascii="楷体" w:hAnsi="楷体" w:eastAsia="楷体" w:cs="楷体"/>
                <w:color w:val="333333"/>
                <w:shd w:val="clear" w:color="auto" w:fill="FFFFFF"/>
              </w:rPr>
              <w:t>2022年企业竞争模拟大赛湖北经济学院校内赛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500</w:t>
            </w:r>
          </w:p>
        </w:tc>
        <w:tc>
          <w:tcPr>
            <w:tcW w:w="588" w:type="pct"/>
            <w:vAlign w:val="center"/>
          </w:tcPr>
          <w:p>
            <w:pPr>
              <w:jc w:val="center"/>
              <w:rPr>
                <w:rFonts w:ascii="楷体" w:hAnsi="楷体" w:eastAsia="楷体" w:cs="楷体"/>
                <w:color w:val="000000"/>
                <w:shd w:val="clear" w:color="auto" w:fill="FFFFFF"/>
              </w:rPr>
            </w:pPr>
            <w:r>
              <w:rPr>
                <w:rFonts w:hint="eastAsia" w:ascii="楷体" w:hAnsi="楷体" w:eastAsia="楷体" w:cs="楷体"/>
              </w:rPr>
              <w:t>靳洪</w:t>
            </w:r>
          </w:p>
        </w:tc>
        <w:tc>
          <w:tcPr>
            <w:tcW w:w="531" w:type="pct"/>
            <w:vAlign w:val="center"/>
          </w:tcPr>
          <w:p>
            <w:pPr>
              <w:jc w:val="center"/>
              <w:rPr>
                <w:rFonts w:ascii="楷体" w:hAnsi="楷体" w:eastAsia="楷体" w:cs="楷体"/>
                <w:bCs/>
              </w:rPr>
            </w:pPr>
            <w:r>
              <w:rPr>
                <w:rFonts w:hint="eastAsia" w:ascii="楷体" w:hAnsi="楷体" w:eastAsia="楷体" w:cs="楷体"/>
              </w:rPr>
              <w:t>正高级实验师</w:t>
            </w:r>
          </w:p>
        </w:tc>
        <w:tc>
          <w:tcPr>
            <w:tcW w:w="921" w:type="pct"/>
            <w:vAlign w:val="center"/>
          </w:tcPr>
          <w:p>
            <w:pPr>
              <w:jc w:val="center"/>
              <w:rPr>
                <w:rFonts w:ascii="楷体" w:hAnsi="楷体" w:eastAsia="楷体" w:cs="楷体"/>
                <w:color w:val="000000"/>
                <w:shd w:val="clear" w:color="auto" w:fill="FFFFFF"/>
              </w:rPr>
            </w:pPr>
            <w:r>
              <w:rPr>
                <w:rFonts w:hint="eastAsia" w:ascii="楷体" w:hAnsi="楷体" w:eastAsia="楷体" w:cs="楷体"/>
                <w:color w:val="333333"/>
                <w:shd w:val="clear" w:color="auto" w:fill="FFFFFF"/>
              </w:rPr>
              <w:t>3月7-14日</w:t>
            </w:r>
          </w:p>
        </w:tc>
        <w:tc>
          <w:tcPr>
            <w:tcW w:w="709" w:type="pct"/>
            <w:vAlign w:val="center"/>
          </w:tcPr>
          <w:p>
            <w:pPr>
              <w:jc w:val="center"/>
              <w:rPr>
                <w:rFonts w:ascii="楷体" w:hAnsi="楷体" w:eastAsia="楷体" w:cs="楷体"/>
                <w:bCs/>
              </w:rPr>
            </w:pPr>
            <w:r>
              <w:rPr>
                <w:rFonts w:hint="eastAsia" w:ascii="楷体" w:hAnsi="楷体" w:eastAsia="楷体" w:cs="楷体"/>
                <w:bCs/>
              </w:rPr>
              <w:t>1万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45" w:hRule="atLeast"/>
          <w:jc w:val="center"/>
        </w:trPr>
        <w:tc>
          <w:tcPr>
            <w:tcW w:w="297" w:type="pct"/>
            <w:vAlign w:val="center"/>
          </w:tcPr>
          <w:p>
            <w:pPr>
              <w:adjustRightInd w:val="0"/>
              <w:snapToGrid w:val="0"/>
              <w:jc w:val="center"/>
              <w:rPr>
                <w:rFonts w:ascii="楷体" w:hAnsi="楷体" w:eastAsia="楷体" w:cs="楷体"/>
              </w:rPr>
            </w:pPr>
            <w:r>
              <w:rPr>
                <w:rFonts w:hint="eastAsia" w:ascii="楷体" w:hAnsi="楷体" w:eastAsia="楷体" w:cs="楷体"/>
              </w:rPr>
              <w:t>8</w:t>
            </w:r>
          </w:p>
        </w:tc>
        <w:tc>
          <w:tcPr>
            <w:tcW w:w="1039"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2022年全国高校经济决策虚仿实验大赛湖北经济学院校内赛</w:t>
            </w:r>
          </w:p>
        </w:tc>
        <w:tc>
          <w:tcPr>
            <w:tcW w:w="475" w:type="pct"/>
            <w:vAlign w:val="center"/>
          </w:tcPr>
          <w:p>
            <w:pPr>
              <w:jc w:val="center"/>
              <w:rPr>
                <w:rFonts w:ascii="楷体" w:hAnsi="楷体" w:eastAsia="楷体" w:cs="楷体"/>
                <w:bCs/>
              </w:rPr>
            </w:pPr>
            <w:r>
              <w:rPr>
                <w:rFonts w:hint="eastAsia" w:ascii="楷体" w:hAnsi="楷体" w:eastAsia="楷体" w:cs="楷体"/>
                <w:bCs/>
              </w:rPr>
              <w:t>校级</w:t>
            </w:r>
          </w:p>
        </w:tc>
        <w:tc>
          <w:tcPr>
            <w:tcW w:w="440" w:type="pct"/>
            <w:vAlign w:val="center"/>
          </w:tcPr>
          <w:p>
            <w:pPr>
              <w:jc w:val="center"/>
              <w:rPr>
                <w:rFonts w:ascii="楷体" w:hAnsi="楷体" w:eastAsia="楷体" w:cs="楷体"/>
                <w:bCs/>
              </w:rPr>
            </w:pPr>
            <w:r>
              <w:rPr>
                <w:rFonts w:hint="eastAsia" w:ascii="楷体" w:hAnsi="楷体" w:eastAsia="楷体" w:cs="楷体"/>
                <w:bCs/>
              </w:rPr>
              <w:t>500</w:t>
            </w:r>
          </w:p>
        </w:tc>
        <w:tc>
          <w:tcPr>
            <w:tcW w:w="588" w:type="pct"/>
            <w:vAlign w:val="center"/>
          </w:tcPr>
          <w:p>
            <w:pPr>
              <w:jc w:val="center"/>
              <w:rPr>
                <w:rFonts w:ascii="楷体" w:hAnsi="楷体" w:eastAsia="楷体" w:cs="楷体"/>
                <w:color w:val="000000"/>
                <w:shd w:val="clear" w:color="auto" w:fill="FFFFFF"/>
              </w:rPr>
            </w:pPr>
            <w:r>
              <w:rPr>
                <w:rFonts w:hint="eastAsia" w:ascii="楷体" w:hAnsi="楷体" w:eastAsia="楷体" w:cs="楷体"/>
              </w:rPr>
              <w:t>靳洪</w:t>
            </w:r>
          </w:p>
        </w:tc>
        <w:tc>
          <w:tcPr>
            <w:tcW w:w="531" w:type="pct"/>
            <w:vAlign w:val="center"/>
          </w:tcPr>
          <w:p>
            <w:pPr>
              <w:jc w:val="center"/>
              <w:rPr>
                <w:rFonts w:ascii="楷体" w:hAnsi="楷体" w:eastAsia="楷体" w:cs="楷体"/>
                <w:bCs/>
              </w:rPr>
            </w:pPr>
            <w:r>
              <w:rPr>
                <w:rFonts w:hint="eastAsia" w:ascii="楷体" w:hAnsi="楷体" w:eastAsia="楷体" w:cs="楷体"/>
              </w:rPr>
              <w:t>正高级实验师</w:t>
            </w:r>
          </w:p>
        </w:tc>
        <w:tc>
          <w:tcPr>
            <w:tcW w:w="921" w:type="pct"/>
            <w:vAlign w:val="center"/>
          </w:tcPr>
          <w:p>
            <w:pPr>
              <w:jc w:val="center"/>
              <w:rPr>
                <w:rFonts w:ascii="楷体" w:hAnsi="楷体" w:eastAsia="楷体" w:cs="楷体"/>
                <w:color w:val="333333"/>
                <w:shd w:val="clear" w:color="auto" w:fill="FFFFFF"/>
              </w:rPr>
            </w:pPr>
            <w:r>
              <w:rPr>
                <w:rFonts w:hint="eastAsia" w:ascii="楷体" w:hAnsi="楷体" w:eastAsia="楷体" w:cs="楷体"/>
                <w:color w:val="333333"/>
                <w:shd w:val="clear" w:color="auto" w:fill="FFFFFF"/>
              </w:rPr>
              <w:t>6月19日</w:t>
            </w:r>
          </w:p>
        </w:tc>
        <w:tc>
          <w:tcPr>
            <w:tcW w:w="709" w:type="pct"/>
            <w:vAlign w:val="center"/>
          </w:tcPr>
          <w:p>
            <w:pPr>
              <w:jc w:val="center"/>
              <w:rPr>
                <w:rFonts w:ascii="楷体" w:hAnsi="楷体" w:eastAsia="楷体" w:cs="楷体"/>
                <w:bCs/>
              </w:rPr>
            </w:pPr>
            <w:r>
              <w:rPr>
                <w:rFonts w:hint="eastAsia" w:ascii="楷体" w:hAnsi="楷体" w:eastAsia="楷体" w:cs="楷体"/>
                <w:bCs/>
              </w:rPr>
              <w:t>1万</w:t>
            </w:r>
          </w:p>
        </w:tc>
      </w:tr>
    </w:tbl>
    <w:p>
      <w:pPr>
        <w:spacing w:before="163" w:beforeLines="50"/>
        <w:ind w:firstLine="480" w:firstLineChars="200"/>
        <w:rPr>
          <w:rFonts w:ascii="楷体" w:hAnsi="楷体" w:eastAsia="楷体"/>
        </w:rPr>
      </w:pPr>
      <w:r>
        <w:rPr>
          <w:rFonts w:hint="eastAsia" w:ascii="楷体" w:hAnsi="楷体" w:eastAsia="楷体"/>
          <w:bCs/>
        </w:rPr>
        <w:t>注：竞赛级别</w:t>
      </w:r>
      <w:r>
        <w:rPr>
          <w:rFonts w:hint="eastAsia" w:ascii="楷体" w:hAnsi="楷体" w:eastAsia="楷体"/>
        </w:rPr>
        <w:t>按国家级、省级、校级设立排序。</w:t>
      </w:r>
    </w:p>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5.开展科普活动情况</w:t>
      </w:r>
    </w:p>
    <w:tbl>
      <w:tblPr>
        <w:tblStyle w:val="12"/>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08"/>
        <w:gridCol w:w="2093"/>
        <w:gridCol w:w="1283"/>
        <w:gridCol w:w="443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4" w:hRule="atLeast"/>
          <w:jc w:val="center"/>
        </w:trPr>
        <w:tc>
          <w:tcPr>
            <w:tcW w:w="416" w:type="pct"/>
            <w:vAlign w:val="center"/>
          </w:tcPr>
          <w:p>
            <w:pPr>
              <w:jc w:val="center"/>
              <w:rPr>
                <w:rFonts w:ascii="黑体" w:hAnsi="黑体" w:eastAsia="黑体" w:cs="宋体"/>
              </w:rPr>
            </w:pPr>
            <w:r>
              <w:rPr>
                <w:rFonts w:hint="eastAsia" w:ascii="黑体" w:hAnsi="黑体" w:eastAsia="黑体" w:cs="宋体"/>
              </w:rPr>
              <w:t>序号</w:t>
            </w:r>
          </w:p>
        </w:tc>
        <w:tc>
          <w:tcPr>
            <w:tcW w:w="1228" w:type="pct"/>
            <w:vAlign w:val="center"/>
          </w:tcPr>
          <w:p>
            <w:pPr>
              <w:jc w:val="center"/>
              <w:rPr>
                <w:rFonts w:ascii="黑体" w:hAnsi="黑体" w:eastAsia="黑体" w:cs="宋体"/>
              </w:rPr>
            </w:pPr>
            <w:r>
              <w:rPr>
                <w:rFonts w:hint="eastAsia" w:ascii="黑体" w:hAnsi="黑体" w:eastAsia="黑体" w:cs="宋体"/>
              </w:rPr>
              <w:t>活动开展时间</w:t>
            </w:r>
          </w:p>
        </w:tc>
        <w:tc>
          <w:tcPr>
            <w:tcW w:w="753" w:type="pct"/>
            <w:vAlign w:val="center"/>
          </w:tcPr>
          <w:p>
            <w:pPr>
              <w:rPr>
                <w:rFonts w:ascii="黑体" w:hAnsi="黑体" w:eastAsia="黑体" w:cs="宋体"/>
              </w:rPr>
            </w:pPr>
            <w:r>
              <w:rPr>
                <w:rFonts w:hint="eastAsia" w:ascii="黑体" w:hAnsi="黑体" w:eastAsia="黑体" w:cs="宋体"/>
              </w:rPr>
              <w:t>参加人数</w:t>
            </w:r>
          </w:p>
        </w:tc>
        <w:tc>
          <w:tcPr>
            <w:tcW w:w="2600" w:type="pct"/>
            <w:vAlign w:val="center"/>
          </w:tcPr>
          <w:p>
            <w:pPr>
              <w:jc w:val="center"/>
              <w:rPr>
                <w:rFonts w:ascii="黑体" w:hAnsi="黑体" w:eastAsia="黑体" w:cs="宋体"/>
              </w:rPr>
            </w:pPr>
            <w:r>
              <w:rPr>
                <w:rFonts w:hint="eastAsia" w:ascii="黑体" w:hAnsi="黑体" w:eastAsia="黑体" w:cs="宋体"/>
              </w:rPr>
              <w:t>活动报道网址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6" w:type="pct"/>
            <w:vAlign w:val="center"/>
          </w:tcPr>
          <w:p>
            <w:pPr>
              <w:jc w:val="center"/>
              <w:rPr>
                <w:rFonts w:ascii="楷体" w:hAnsi="楷体" w:eastAsia="楷体" w:cs="楷体"/>
              </w:rPr>
            </w:pPr>
            <w:r>
              <w:rPr>
                <w:rFonts w:hint="eastAsia" w:ascii="楷体" w:hAnsi="楷体" w:eastAsia="楷体" w:cs="楷体"/>
              </w:rPr>
              <w:t>1</w:t>
            </w:r>
          </w:p>
        </w:tc>
        <w:tc>
          <w:tcPr>
            <w:tcW w:w="1228" w:type="pct"/>
            <w:vAlign w:val="center"/>
          </w:tcPr>
          <w:p>
            <w:pPr>
              <w:jc w:val="center"/>
              <w:rPr>
                <w:rFonts w:ascii="楷体" w:hAnsi="楷体" w:eastAsia="楷体" w:cs="楷体"/>
              </w:rPr>
            </w:pPr>
            <w:r>
              <w:rPr>
                <w:rFonts w:hint="eastAsia" w:ascii="楷体" w:hAnsi="楷体" w:eastAsia="楷体" w:cs="楷体"/>
              </w:rPr>
              <w:t>2022年4月19日</w:t>
            </w:r>
          </w:p>
        </w:tc>
        <w:tc>
          <w:tcPr>
            <w:tcW w:w="753" w:type="pct"/>
            <w:vAlign w:val="center"/>
          </w:tcPr>
          <w:p>
            <w:pPr>
              <w:jc w:val="center"/>
              <w:rPr>
                <w:rFonts w:ascii="楷体" w:hAnsi="楷体" w:eastAsia="楷体" w:cs="楷体"/>
              </w:rPr>
            </w:pPr>
            <w:r>
              <w:rPr>
                <w:rFonts w:hint="eastAsia" w:ascii="楷体" w:hAnsi="楷体" w:eastAsia="楷体" w:cs="楷体"/>
              </w:rPr>
              <w:t>40</w:t>
            </w:r>
          </w:p>
        </w:tc>
        <w:tc>
          <w:tcPr>
            <w:tcW w:w="2600" w:type="pct"/>
            <w:vAlign w:val="center"/>
          </w:tcPr>
          <w:p>
            <w:pPr>
              <w:jc w:val="center"/>
              <w:rPr>
                <w:rFonts w:ascii="楷体" w:hAnsi="楷体" w:eastAsia="楷体" w:cs="楷体"/>
              </w:rPr>
            </w:pPr>
            <w:r>
              <w:rPr>
                <w:rFonts w:hint="eastAsia" w:ascii="楷体" w:hAnsi="楷体" w:eastAsia="楷体" w:cs="楷体"/>
              </w:rPr>
              <w:t>http://syzxsb.hbue.edu.cn/e5/9e/c7979a255390/page.htm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6" w:type="pct"/>
            <w:vAlign w:val="center"/>
          </w:tcPr>
          <w:p>
            <w:pPr>
              <w:jc w:val="center"/>
              <w:rPr>
                <w:rFonts w:ascii="楷体" w:hAnsi="楷体" w:eastAsia="楷体" w:cs="楷体"/>
              </w:rPr>
            </w:pPr>
            <w:r>
              <w:rPr>
                <w:rFonts w:hint="eastAsia" w:ascii="楷体" w:hAnsi="楷体" w:eastAsia="楷体" w:cs="楷体"/>
              </w:rPr>
              <w:t>2</w:t>
            </w:r>
          </w:p>
        </w:tc>
        <w:tc>
          <w:tcPr>
            <w:tcW w:w="1228" w:type="pct"/>
            <w:vAlign w:val="center"/>
          </w:tcPr>
          <w:p>
            <w:pPr>
              <w:jc w:val="center"/>
              <w:rPr>
                <w:rFonts w:ascii="楷体" w:hAnsi="楷体" w:eastAsia="楷体" w:cs="楷体"/>
              </w:rPr>
            </w:pPr>
            <w:r>
              <w:rPr>
                <w:rFonts w:hint="eastAsia" w:ascii="楷体" w:hAnsi="楷体" w:eastAsia="楷体" w:cs="楷体"/>
              </w:rPr>
              <w:t>2022年6月13日</w:t>
            </w:r>
          </w:p>
        </w:tc>
        <w:tc>
          <w:tcPr>
            <w:tcW w:w="753" w:type="pct"/>
            <w:vAlign w:val="center"/>
          </w:tcPr>
          <w:p>
            <w:pPr>
              <w:jc w:val="center"/>
              <w:rPr>
                <w:rFonts w:ascii="楷体" w:hAnsi="楷体" w:eastAsia="楷体" w:cs="楷体"/>
              </w:rPr>
            </w:pPr>
            <w:r>
              <w:rPr>
                <w:rFonts w:hint="eastAsia" w:ascii="楷体" w:hAnsi="楷体" w:eastAsia="楷体" w:cs="楷体"/>
              </w:rPr>
              <w:t>40</w:t>
            </w:r>
          </w:p>
        </w:tc>
        <w:tc>
          <w:tcPr>
            <w:tcW w:w="2600" w:type="pct"/>
            <w:vAlign w:val="center"/>
          </w:tcPr>
          <w:p>
            <w:pPr>
              <w:jc w:val="center"/>
              <w:rPr>
                <w:rFonts w:ascii="楷体" w:hAnsi="楷体" w:eastAsia="楷体" w:cs="楷体"/>
              </w:rPr>
            </w:pPr>
            <w:r>
              <w:rPr>
                <w:rFonts w:hint="eastAsia" w:ascii="楷体" w:hAnsi="楷体" w:eastAsia="楷体" w:cs="楷体"/>
              </w:rPr>
              <w:t>http://syzxsb.hbue.edu.cn/f6/05/c7979a259589/page.htm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8" w:hRule="atLeast"/>
          <w:jc w:val="center"/>
        </w:trPr>
        <w:tc>
          <w:tcPr>
            <w:tcW w:w="416" w:type="pct"/>
            <w:vAlign w:val="center"/>
          </w:tcPr>
          <w:p>
            <w:pPr>
              <w:jc w:val="center"/>
              <w:rPr>
                <w:rFonts w:ascii="楷体" w:hAnsi="楷体" w:eastAsia="楷体" w:cs="楷体"/>
              </w:rPr>
            </w:pPr>
            <w:r>
              <w:rPr>
                <w:rFonts w:hint="eastAsia" w:ascii="楷体" w:hAnsi="楷体" w:eastAsia="楷体" w:cs="楷体"/>
              </w:rPr>
              <w:t>3</w:t>
            </w:r>
          </w:p>
        </w:tc>
        <w:tc>
          <w:tcPr>
            <w:tcW w:w="1228" w:type="pct"/>
            <w:vAlign w:val="center"/>
          </w:tcPr>
          <w:p>
            <w:pPr>
              <w:jc w:val="center"/>
              <w:rPr>
                <w:rFonts w:ascii="楷体" w:hAnsi="楷体" w:eastAsia="楷体" w:cs="楷体"/>
              </w:rPr>
            </w:pPr>
            <w:r>
              <w:rPr>
                <w:rFonts w:hint="eastAsia" w:ascii="楷体" w:hAnsi="楷体" w:eastAsia="楷体" w:cs="楷体"/>
              </w:rPr>
              <w:t>2022年11月3日</w:t>
            </w:r>
          </w:p>
        </w:tc>
        <w:tc>
          <w:tcPr>
            <w:tcW w:w="753" w:type="pct"/>
            <w:vAlign w:val="center"/>
          </w:tcPr>
          <w:p>
            <w:pPr>
              <w:jc w:val="center"/>
              <w:rPr>
                <w:rFonts w:ascii="楷体" w:hAnsi="楷体" w:eastAsia="楷体" w:cs="楷体"/>
              </w:rPr>
            </w:pPr>
            <w:r>
              <w:rPr>
                <w:rFonts w:hint="eastAsia" w:ascii="楷体" w:hAnsi="楷体" w:eastAsia="楷体" w:cs="楷体"/>
              </w:rPr>
              <w:t>500</w:t>
            </w:r>
          </w:p>
        </w:tc>
        <w:tc>
          <w:tcPr>
            <w:tcW w:w="2600" w:type="pct"/>
            <w:vAlign w:val="center"/>
          </w:tcPr>
          <w:p>
            <w:pPr>
              <w:jc w:val="center"/>
              <w:rPr>
                <w:rFonts w:ascii="楷体" w:hAnsi="楷体" w:eastAsia="楷体" w:cs="楷体"/>
              </w:rPr>
            </w:pPr>
            <w:r>
              <w:rPr>
                <w:rFonts w:hint="eastAsia" w:ascii="楷体" w:hAnsi="楷体" w:eastAsia="楷体" w:cs="楷体"/>
              </w:rPr>
              <w:t>http://www.hbue.edu.cn/64/d2/c9263a287954/page.htm</w:t>
            </w:r>
          </w:p>
        </w:tc>
      </w:tr>
    </w:tbl>
    <w:p>
      <w:pPr>
        <w:spacing w:before="163" w:beforeLines="50" w:after="163" w:afterLines="50"/>
        <w:ind w:firstLine="480" w:firstLineChars="200"/>
        <w:rPr>
          <w:rFonts w:ascii="黑体" w:hAnsi="黑体" w:eastAsia="黑体" w:cs="仿宋_GB2312"/>
        </w:rPr>
      </w:pPr>
      <w:r>
        <w:rPr>
          <w:rFonts w:hint="eastAsia" w:ascii="黑体" w:hAnsi="黑体" w:eastAsia="黑体" w:cs="仿宋_GB2312"/>
        </w:rPr>
        <w:t>6.承办培训情况</w:t>
      </w:r>
    </w:p>
    <w:tbl>
      <w:tblPr>
        <w:tblStyle w:val="11"/>
        <w:tblW w:w="83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9"/>
        <w:gridCol w:w="1800"/>
        <w:gridCol w:w="1440"/>
        <w:gridCol w:w="1080"/>
        <w:gridCol w:w="1260"/>
        <w:gridCol w:w="1260"/>
        <w:gridCol w:w="10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469" w:type="dxa"/>
            <w:vAlign w:val="center"/>
          </w:tcPr>
          <w:p>
            <w:pPr>
              <w:jc w:val="center"/>
              <w:rPr>
                <w:rFonts w:ascii="黑体" w:hAnsi="黑体" w:eastAsia="黑体"/>
              </w:rPr>
            </w:pPr>
            <w:r>
              <w:rPr>
                <w:rFonts w:hint="eastAsia" w:ascii="黑体" w:hAnsi="黑体" w:eastAsia="黑体" w:cs="宋体"/>
              </w:rPr>
              <w:t>序号</w:t>
            </w:r>
          </w:p>
        </w:tc>
        <w:tc>
          <w:tcPr>
            <w:tcW w:w="1800" w:type="dxa"/>
            <w:vAlign w:val="center"/>
          </w:tcPr>
          <w:p>
            <w:pPr>
              <w:jc w:val="center"/>
              <w:rPr>
                <w:rFonts w:ascii="黑体" w:hAnsi="黑体" w:eastAsia="黑体"/>
              </w:rPr>
            </w:pPr>
            <w:r>
              <w:rPr>
                <w:rFonts w:hint="eastAsia" w:ascii="黑体" w:hAnsi="黑体" w:eastAsia="黑体" w:cs="宋体"/>
              </w:rPr>
              <w:t>培训项目名称</w:t>
            </w:r>
          </w:p>
        </w:tc>
        <w:tc>
          <w:tcPr>
            <w:tcW w:w="1440" w:type="dxa"/>
            <w:vAlign w:val="center"/>
          </w:tcPr>
          <w:p>
            <w:pPr>
              <w:jc w:val="center"/>
              <w:rPr>
                <w:rFonts w:ascii="黑体" w:hAnsi="黑体" w:eastAsia="黑体"/>
              </w:rPr>
            </w:pPr>
            <w:r>
              <w:rPr>
                <w:rFonts w:hint="eastAsia" w:ascii="黑体" w:hAnsi="黑体" w:eastAsia="黑体"/>
              </w:rPr>
              <w:t>培训人数</w:t>
            </w:r>
          </w:p>
        </w:tc>
        <w:tc>
          <w:tcPr>
            <w:tcW w:w="1080" w:type="dxa"/>
            <w:vAlign w:val="center"/>
          </w:tcPr>
          <w:p>
            <w:pPr>
              <w:jc w:val="center"/>
              <w:rPr>
                <w:rFonts w:ascii="黑体" w:hAnsi="黑体" w:eastAsia="黑体"/>
              </w:rPr>
            </w:pPr>
            <w:r>
              <w:rPr>
                <w:rFonts w:hint="eastAsia" w:ascii="黑体" w:hAnsi="黑体" w:eastAsia="黑体" w:cs="宋体"/>
              </w:rPr>
              <w:t>负责人</w:t>
            </w:r>
          </w:p>
        </w:tc>
        <w:tc>
          <w:tcPr>
            <w:tcW w:w="1260" w:type="dxa"/>
            <w:vAlign w:val="center"/>
          </w:tcPr>
          <w:p>
            <w:pPr>
              <w:jc w:val="center"/>
              <w:rPr>
                <w:rFonts w:ascii="黑体" w:hAnsi="黑体" w:eastAsia="黑体"/>
              </w:rPr>
            </w:pPr>
            <w:r>
              <w:rPr>
                <w:rFonts w:hint="eastAsia" w:ascii="黑体" w:hAnsi="黑体" w:eastAsia="黑体" w:cs="宋体"/>
              </w:rPr>
              <w:t>职称</w:t>
            </w:r>
          </w:p>
        </w:tc>
        <w:tc>
          <w:tcPr>
            <w:tcW w:w="1260" w:type="dxa"/>
            <w:vAlign w:val="center"/>
          </w:tcPr>
          <w:p>
            <w:pPr>
              <w:jc w:val="center"/>
              <w:rPr>
                <w:rFonts w:ascii="黑体" w:hAnsi="黑体" w:eastAsia="黑体"/>
              </w:rPr>
            </w:pPr>
            <w:r>
              <w:rPr>
                <w:rFonts w:hint="eastAsia" w:ascii="黑体" w:hAnsi="黑体" w:eastAsia="黑体" w:cs="宋体"/>
              </w:rPr>
              <w:t>起止时间</w:t>
            </w:r>
          </w:p>
        </w:tc>
        <w:tc>
          <w:tcPr>
            <w:tcW w:w="1080" w:type="dxa"/>
            <w:vAlign w:val="center"/>
          </w:tcPr>
          <w:p>
            <w:pPr>
              <w:jc w:val="center"/>
              <w:rPr>
                <w:rFonts w:ascii="黑体" w:hAnsi="黑体" w:eastAsia="黑体"/>
              </w:rPr>
            </w:pPr>
            <w:r>
              <w:rPr>
                <w:rFonts w:hint="eastAsia" w:ascii="黑体" w:hAnsi="黑体" w:eastAsia="黑体" w:cs="宋体"/>
              </w:rPr>
              <w:t>总经费（万元）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1</w:t>
            </w:r>
          </w:p>
        </w:tc>
        <w:tc>
          <w:tcPr>
            <w:tcW w:w="1800" w:type="dxa"/>
            <w:vAlign w:val="center"/>
          </w:tcPr>
          <w:p>
            <w:pPr>
              <w:pStyle w:val="2"/>
              <w:shd w:val="clear" w:color="auto" w:fill="FFFFFF"/>
              <w:spacing w:before="0" w:beforeAutospacing="0" w:after="0" w:afterAutospacing="0"/>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2022年“学创杯”全国大学生创业综合模拟大赛湖北省赛赛前筹备会</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80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陈新武</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正高级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4月8日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2</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实验室安全培训会在线学习</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40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吴晓玲</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其它</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4月19日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3</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 xml:space="preserve">2022年“学创杯”全国大学生创业综合模拟大赛湖北省赛赛前筹备会(第三次会议) </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50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陈新武</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正高级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5月23日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28"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4</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高校实验室安全与管理培训班</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40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吴晓玲</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其它</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6月10日-6月11日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5</w:t>
            </w:r>
          </w:p>
        </w:tc>
        <w:tc>
          <w:tcPr>
            <w:tcW w:w="1800" w:type="dxa"/>
            <w:vAlign w:val="center"/>
          </w:tcPr>
          <w:p>
            <w:pPr>
              <w:pStyle w:val="2"/>
              <w:shd w:val="clear" w:color="auto" w:fill="FFFFFF"/>
              <w:spacing w:beforeAutospacing="0" w:afterAutospacing="0" w:line="312"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2019级《企业资源计划Ⅱ》课程总结与研讨会</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30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姚和平</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副高级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6月16日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6</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《经营管理综合仿真实习》课程集中业务培训与研讨备课</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54</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姚和平</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副高级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6月30日-7月6日、8月22日-8月26日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7</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《企业经营沙盘推演（初级）》课程集体备课</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38</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姚和平</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副高级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10月13日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8</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2022年经营管理综合仿真实习课程总结会</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59</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姚和平</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副高级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11月3日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9</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《经营管理综合仿真实习》课程组总结研讨会</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50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姚和平</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副高级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11月3日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69" w:type="dxa"/>
            <w:vAlign w:val="center"/>
          </w:tcPr>
          <w:p>
            <w:pPr>
              <w:jc w:val="center"/>
              <w:rPr>
                <w:rFonts w:ascii="楷体" w:hAnsi="楷体" w:eastAsia="楷体" w:cs="楷体"/>
                <w:color w:val="000000"/>
                <w:shd w:val="clear" w:color="auto" w:fill="FFFFFF"/>
              </w:rPr>
            </w:pPr>
            <w:r>
              <w:rPr>
                <w:rFonts w:hint="eastAsia" w:ascii="楷体" w:hAnsi="楷体" w:eastAsia="楷体" w:cs="楷体"/>
                <w:color w:val="000000"/>
                <w:shd w:val="clear" w:color="auto" w:fill="FFFFFF"/>
              </w:rPr>
              <w:t>10</w:t>
            </w:r>
          </w:p>
        </w:tc>
        <w:tc>
          <w:tcPr>
            <w:tcW w:w="180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专题培训讲座（任晓阳）</w:t>
            </w:r>
          </w:p>
        </w:tc>
        <w:tc>
          <w:tcPr>
            <w:tcW w:w="144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40</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陈新武</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正高级</w:t>
            </w:r>
          </w:p>
        </w:tc>
        <w:tc>
          <w:tcPr>
            <w:tcW w:w="126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12月10日</w:t>
            </w:r>
          </w:p>
        </w:tc>
        <w:tc>
          <w:tcPr>
            <w:tcW w:w="1080" w:type="dxa"/>
            <w:vAlign w:val="center"/>
          </w:tcPr>
          <w:p>
            <w:pPr>
              <w:pStyle w:val="2"/>
              <w:shd w:val="clear" w:color="auto" w:fill="FFFFFF"/>
              <w:spacing w:beforeAutospacing="0" w:afterAutospacing="0" w:line="390" w:lineRule="atLeast"/>
              <w:jc w:val="center"/>
              <w:rPr>
                <w:rFonts w:ascii="楷体" w:hAnsi="楷体" w:eastAsia="楷体" w:cs="楷体"/>
                <w:b w:val="0"/>
                <w:bCs w:val="0"/>
                <w:color w:val="000000"/>
                <w:kern w:val="2"/>
                <w:sz w:val="24"/>
                <w:szCs w:val="24"/>
                <w:shd w:val="clear" w:color="auto" w:fill="FFFFFF"/>
              </w:rPr>
            </w:pPr>
            <w:r>
              <w:rPr>
                <w:rFonts w:hint="eastAsia" w:ascii="楷体" w:hAnsi="楷体" w:eastAsia="楷体" w:cs="楷体"/>
                <w:b w:val="0"/>
                <w:bCs w:val="0"/>
                <w:color w:val="000000"/>
                <w:kern w:val="2"/>
                <w:sz w:val="24"/>
                <w:szCs w:val="24"/>
                <w:shd w:val="clear" w:color="auto" w:fill="FFFFFF"/>
              </w:rPr>
              <w:t>0</w:t>
            </w:r>
          </w:p>
        </w:tc>
      </w:tr>
    </w:tbl>
    <w:p>
      <w:pPr>
        <w:ind w:firstLine="480" w:firstLineChars="200"/>
        <w:rPr>
          <w:rFonts w:ascii="楷体" w:hAnsi="楷体" w:eastAsia="楷体" w:cs="仿宋_GB2312"/>
        </w:rPr>
      </w:pPr>
      <w:r>
        <w:rPr>
          <w:rFonts w:hint="eastAsia" w:ascii="楷体" w:hAnsi="楷体" w:eastAsia="楷体" w:cs="仿宋_GB2312"/>
        </w:rPr>
        <w:t>注：培训项目以正式文件为准，培训人数以签到表为准。</w:t>
      </w:r>
    </w:p>
    <w:p>
      <w:pPr>
        <w:spacing w:before="163" w:beforeLines="50"/>
        <w:ind w:firstLine="560" w:firstLineChars="200"/>
        <w:rPr>
          <w:rFonts w:ascii="黑体" w:hAnsi="黑体" w:eastAsia="黑体"/>
          <w:sz w:val="28"/>
          <w:szCs w:val="28"/>
        </w:rPr>
      </w:pPr>
      <w:r>
        <w:rPr>
          <w:rFonts w:hint="eastAsia" w:ascii="黑体" w:hAnsi="黑体" w:eastAsia="黑体"/>
          <w:sz w:val="28"/>
          <w:szCs w:val="28"/>
        </w:rPr>
        <w:t>（三）安全工作情况</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28"/>
        <w:gridCol w:w="2129"/>
        <w:gridCol w:w="425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1"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安全教育培训情况</w:t>
            </w:r>
          </w:p>
        </w:tc>
        <w:tc>
          <w:tcPr>
            <w:tcW w:w="4261" w:type="dxa"/>
            <w:vAlign w:val="center"/>
          </w:tcPr>
          <w:p>
            <w:pPr>
              <w:adjustRightInd w:val="0"/>
              <w:snapToGrid w:val="0"/>
              <w:jc w:val="center"/>
              <w:rPr>
                <w:rFonts w:ascii="楷体" w:hAnsi="楷体" w:eastAsia="楷体" w:cs="Times New Roman"/>
                <w:bCs/>
              </w:rPr>
            </w:pPr>
            <w:r>
              <w:rPr>
                <w:rFonts w:hint="eastAsia" w:ascii="仿宋" w:hAnsi="仿宋" w:eastAsia="仿宋" w:cs="Times New Roman"/>
                <w:bCs/>
              </w:rPr>
              <w:t>18753</w:t>
            </w:r>
            <w:r>
              <w:rPr>
                <w:rFonts w:hint="eastAsia" w:ascii="楷体" w:hAnsi="楷体" w:eastAsia="楷体" w:cs="Times New Roman"/>
                <w:bCs/>
              </w:rPr>
              <w:t>人次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8522" w:type="dxa"/>
            <w:gridSpan w:val="3"/>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是否发生安全责任事故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4260" w:type="dxa"/>
            <w:gridSpan w:val="2"/>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伤亡人数（人）</w:t>
            </w:r>
          </w:p>
        </w:tc>
        <w:tc>
          <w:tcPr>
            <w:tcW w:w="4262" w:type="dxa"/>
            <w:vMerge w:val="restart"/>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未发生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伤</w:t>
            </w:r>
          </w:p>
        </w:tc>
        <w:tc>
          <w:tcPr>
            <w:tcW w:w="2130" w:type="dxa"/>
            <w:vAlign w:val="center"/>
          </w:tcPr>
          <w:p>
            <w:pPr>
              <w:adjustRightInd w:val="0"/>
              <w:snapToGrid w:val="0"/>
              <w:jc w:val="center"/>
              <w:rPr>
                <w:rFonts w:ascii="黑体" w:hAnsi="黑体" w:eastAsia="黑体" w:cs="Times New Roman"/>
                <w:bCs/>
              </w:rPr>
            </w:pPr>
            <w:r>
              <w:rPr>
                <w:rFonts w:hint="eastAsia" w:ascii="黑体" w:hAnsi="黑体" w:eastAsia="黑体" w:cs="Times New Roman"/>
                <w:bCs/>
              </w:rPr>
              <w:t>亡</w:t>
            </w:r>
          </w:p>
        </w:tc>
        <w:tc>
          <w:tcPr>
            <w:tcW w:w="4262" w:type="dxa"/>
            <w:vMerge w:val="continue"/>
            <w:vAlign w:val="center"/>
          </w:tcPr>
          <w:p>
            <w:pPr>
              <w:adjustRightInd w:val="0"/>
              <w:snapToGrid w:val="0"/>
              <w:jc w:val="center"/>
              <w:rPr>
                <w:rFonts w:ascii="仿宋" w:hAnsi="仿宋" w:eastAsia="仿宋" w:cs="Times New Roman"/>
                <w:bCs/>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2" w:hRule="atLeast"/>
        </w:trPr>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2130"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0</w:t>
            </w:r>
          </w:p>
        </w:tc>
        <w:tc>
          <w:tcPr>
            <w:tcW w:w="4262" w:type="dxa"/>
            <w:vAlign w:val="center"/>
          </w:tcPr>
          <w:p>
            <w:pPr>
              <w:adjustRightInd w:val="0"/>
              <w:snapToGrid w:val="0"/>
              <w:jc w:val="center"/>
              <w:rPr>
                <w:rFonts w:ascii="仿宋" w:hAnsi="仿宋" w:eastAsia="仿宋" w:cs="Times New Roman"/>
                <w:bCs/>
                <w:sz w:val="28"/>
                <w:szCs w:val="28"/>
              </w:rPr>
            </w:pPr>
            <w:r>
              <w:rPr>
                <w:rFonts w:hint="eastAsia" w:ascii="仿宋" w:hAnsi="仿宋" w:eastAsia="仿宋" w:cs="Times New Roman"/>
                <w:bCs/>
                <w:sz w:val="28"/>
                <w:szCs w:val="28"/>
              </w:rPr>
              <w:t>√</w:t>
            </w:r>
          </w:p>
        </w:tc>
      </w:tr>
    </w:tbl>
    <w:p>
      <w:pPr>
        <w:adjustRightInd w:val="0"/>
        <w:snapToGrid w:val="0"/>
        <w:ind w:firstLine="480" w:firstLineChars="200"/>
        <w:rPr>
          <w:rFonts w:ascii="黑体" w:hAnsi="黑体" w:eastAsia="黑体" w:cs="Times New Roman"/>
          <w:b/>
          <w:bCs/>
          <w:sz w:val="32"/>
          <w:szCs w:val="32"/>
        </w:rPr>
      </w:pPr>
      <w:r>
        <w:rPr>
          <w:rFonts w:hint="eastAsia" w:ascii="楷体" w:hAnsi="楷体" w:eastAsia="楷体" w:cs="Times New Roman"/>
          <w:bCs/>
        </w:rPr>
        <w:t>注：安全责任事故以所在高校发布的安全责任事故通报文件为准。如未发生安全责任事故，请在其下方表格打钩。如发生安全责任事故，请说明伤亡人数。</w:t>
      </w:r>
    </w:p>
    <w:p>
      <w:pPr>
        <w:widowControl/>
        <w:rPr>
          <w:rFonts w:ascii="仿宋" w:hAnsi="仿宋" w:eastAsia="仿宋" w:cs="Times New Roman"/>
          <w:kern w:val="0"/>
          <w:sz w:val="32"/>
          <w:szCs w:val="32"/>
        </w:rPr>
      </w:pPr>
    </w:p>
    <w:sectPr>
      <w:footerReference r:id="rId3" w:type="default"/>
      <w:pgSz w:w="11900" w:h="16840"/>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4409577"/>
    </w:sdtPr>
    <w:sdtContent>
      <w:p>
        <w:pPr>
          <w:pStyle w:val="7"/>
          <w:jc w:val="center"/>
        </w:pPr>
        <w:r>
          <w:fldChar w:fldCharType="begin"/>
        </w:r>
        <w:r>
          <w:instrText xml:space="preserve">PAGE   \* MERGEFORMAT</w:instrText>
        </w:r>
        <w:r>
          <w:fldChar w:fldCharType="separate"/>
        </w:r>
        <w:r>
          <w:rPr>
            <w:lang w:val="zh-CN"/>
          </w:rPr>
          <w:t>36</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C4C23"/>
    <w:multiLevelType w:val="singleLevel"/>
    <w:tmpl w:val="B29C4C2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c0NmQ1YTUwNDI2YjNhZmI5YWY2YmU3NjZhNThhNjAifQ=="/>
  </w:docVars>
  <w:rsids>
    <w:rsidRoot w:val="00731006"/>
    <w:rsid w:val="00004310"/>
    <w:rsid w:val="0001298D"/>
    <w:rsid w:val="00023003"/>
    <w:rsid w:val="000237CF"/>
    <w:rsid w:val="00024A5A"/>
    <w:rsid w:val="00044D85"/>
    <w:rsid w:val="000619F3"/>
    <w:rsid w:val="00067E42"/>
    <w:rsid w:val="000725DB"/>
    <w:rsid w:val="000768A2"/>
    <w:rsid w:val="000817DD"/>
    <w:rsid w:val="00086540"/>
    <w:rsid w:val="000A24E5"/>
    <w:rsid w:val="000C6761"/>
    <w:rsid w:val="000C6A3E"/>
    <w:rsid w:val="000E55E8"/>
    <w:rsid w:val="000E5828"/>
    <w:rsid w:val="000E5AF0"/>
    <w:rsid w:val="000E7F6C"/>
    <w:rsid w:val="00117856"/>
    <w:rsid w:val="00120246"/>
    <w:rsid w:val="00124353"/>
    <w:rsid w:val="00150C9E"/>
    <w:rsid w:val="00152120"/>
    <w:rsid w:val="001522DA"/>
    <w:rsid w:val="00153C5C"/>
    <w:rsid w:val="001547A2"/>
    <w:rsid w:val="001648BE"/>
    <w:rsid w:val="00165AC5"/>
    <w:rsid w:val="00174216"/>
    <w:rsid w:val="00192565"/>
    <w:rsid w:val="001A7536"/>
    <w:rsid w:val="001D042A"/>
    <w:rsid w:val="001D0460"/>
    <w:rsid w:val="001E1DCA"/>
    <w:rsid w:val="001E6EAA"/>
    <w:rsid w:val="001E7F53"/>
    <w:rsid w:val="001F50D6"/>
    <w:rsid w:val="00216217"/>
    <w:rsid w:val="00234EDD"/>
    <w:rsid w:val="00246D1F"/>
    <w:rsid w:val="00251DB3"/>
    <w:rsid w:val="00256539"/>
    <w:rsid w:val="002570D2"/>
    <w:rsid w:val="00260E32"/>
    <w:rsid w:val="00263513"/>
    <w:rsid w:val="00263E35"/>
    <w:rsid w:val="00265182"/>
    <w:rsid w:val="002700A6"/>
    <w:rsid w:val="0027225C"/>
    <w:rsid w:val="00274DA3"/>
    <w:rsid w:val="00277A91"/>
    <w:rsid w:val="002939B0"/>
    <w:rsid w:val="0029464E"/>
    <w:rsid w:val="0029481E"/>
    <w:rsid w:val="00297BEF"/>
    <w:rsid w:val="002B0A00"/>
    <w:rsid w:val="002C669C"/>
    <w:rsid w:val="002C6964"/>
    <w:rsid w:val="002C7E93"/>
    <w:rsid w:val="002D6D43"/>
    <w:rsid w:val="002E2477"/>
    <w:rsid w:val="002E73BD"/>
    <w:rsid w:val="002F56DB"/>
    <w:rsid w:val="00333827"/>
    <w:rsid w:val="003514F0"/>
    <w:rsid w:val="003647CF"/>
    <w:rsid w:val="00367498"/>
    <w:rsid w:val="00383097"/>
    <w:rsid w:val="00391928"/>
    <w:rsid w:val="00394001"/>
    <w:rsid w:val="0039535F"/>
    <w:rsid w:val="00396CFC"/>
    <w:rsid w:val="003A349F"/>
    <w:rsid w:val="003A4001"/>
    <w:rsid w:val="003B5DA5"/>
    <w:rsid w:val="003C4FFF"/>
    <w:rsid w:val="003D0BEF"/>
    <w:rsid w:val="003E7239"/>
    <w:rsid w:val="003F1A46"/>
    <w:rsid w:val="00400CB6"/>
    <w:rsid w:val="004048AD"/>
    <w:rsid w:val="00411736"/>
    <w:rsid w:val="004126B5"/>
    <w:rsid w:val="0042301E"/>
    <w:rsid w:val="00430375"/>
    <w:rsid w:val="00455E73"/>
    <w:rsid w:val="004604EC"/>
    <w:rsid w:val="0046335C"/>
    <w:rsid w:val="00465504"/>
    <w:rsid w:val="00471C03"/>
    <w:rsid w:val="0049294E"/>
    <w:rsid w:val="004B4448"/>
    <w:rsid w:val="004B49A3"/>
    <w:rsid w:val="004B6546"/>
    <w:rsid w:val="004B7E75"/>
    <w:rsid w:val="004C1EC8"/>
    <w:rsid w:val="004C1F5E"/>
    <w:rsid w:val="004C67B1"/>
    <w:rsid w:val="004C6C2C"/>
    <w:rsid w:val="004D2B81"/>
    <w:rsid w:val="004F27AD"/>
    <w:rsid w:val="004F4AC4"/>
    <w:rsid w:val="005007EB"/>
    <w:rsid w:val="00500DA4"/>
    <w:rsid w:val="00504DC8"/>
    <w:rsid w:val="005072AF"/>
    <w:rsid w:val="00516971"/>
    <w:rsid w:val="005219BA"/>
    <w:rsid w:val="0053038D"/>
    <w:rsid w:val="00534F89"/>
    <w:rsid w:val="0055030B"/>
    <w:rsid w:val="005513FC"/>
    <w:rsid w:val="00561913"/>
    <w:rsid w:val="00571B4B"/>
    <w:rsid w:val="005938FB"/>
    <w:rsid w:val="005B7DE6"/>
    <w:rsid w:val="005C0E29"/>
    <w:rsid w:val="005D0736"/>
    <w:rsid w:val="005D27C5"/>
    <w:rsid w:val="00606BF2"/>
    <w:rsid w:val="0061048A"/>
    <w:rsid w:val="00613227"/>
    <w:rsid w:val="006167A0"/>
    <w:rsid w:val="006372C4"/>
    <w:rsid w:val="00637405"/>
    <w:rsid w:val="0067302C"/>
    <w:rsid w:val="006736CD"/>
    <w:rsid w:val="0068048D"/>
    <w:rsid w:val="00682C85"/>
    <w:rsid w:val="00683C90"/>
    <w:rsid w:val="00690470"/>
    <w:rsid w:val="006928FB"/>
    <w:rsid w:val="0069524A"/>
    <w:rsid w:val="00696B85"/>
    <w:rsid w:val="00697E1A"/>
    <w:rsid w:val="006A3CED"/>
    <w:rsid w:val="006B3FD2"/>
    <w:rsid w:val="006B4307"/>
    <w:rsid w:val="006C151D"/>
    <w:rsid w:val="006C2AE1"/>
    <w:rsid w:val="006D1EBB"/>
    <w:rsid w:val="006D21AA"/>
    <w:rsid w:val="006D4FA6"/>
    <w:rsid w:val="006D6E68"/>
    <w:rsid w:val="006E753F"/>
    <w:rsid w:val="006F597C"/>
    <w:rsid w:val="007059FD"/>
    <w:rsid w:val="00707008"/>
    <w:rsid w:val="00721220"/>
    <w:rsid w:val="00731006"/>
    <w:rsid w:val="007556CC"/>
    <w:rsid w:val="00765086"/>
    <w:rsid w:val="00773249"/>
    <w:rsid w:val="0078157D"/>
    <w:rsid w:val="007921BC"/>
    <w:rsid w:val="00792ED2"/>
    <w:rsid w:val="007941FF"/>
    <w:rsid w:val="007A130E"/>
    <w:rsid w:val="007A3B20"/>
    <w:rsid w:val="007A5272"/>
    <w:rsid w:val="007A559E"/>
    <w:rsid w:val="007A7F01"/>
    <w:rsid w:val="007B09D8"/>
    <w:rsid w:val="007B1657"/>
    <w:rsid w:val="007C26B7"/>
    <w:rsid w:val="007D5602"/>
    <w:rsid w:val="007E7487"/>
    <w:rsid w:val="008112D4"/>
    <w:rsid w:val="00814CC8"/>
    <w:rsid w:val="00836E97"/>
    <w:rsid w:val="00837C91"/>
    <w:rsid w:val="0085048A"/>
    <w:rsid w:val="0085403E"/>
    <w:rsid w:val="0086160A"/>
    <w:rsid w:val="008858E7"/>
    <w:rsid w:val="00886991"/>
    <w:rsid w:val="008A2496"/>
    <w:rsid w:val="008A29EF"/>
    <w:rsid w:val="008B08CD"/>
    <w:rsid w:val="008D11D8"/>
    <w:rsid w:val="008D604D"/>
    <w:rsid w:val="008D7917"/>
    <w:rsid w:val="008F179F"/>
    <w:rsid w:val="00902DE6"/>
    <w:rsid w:val="00907998"/>
    <w:rsid w:val="00914CFB"/>
    <w:rsid w:val="009226B7"/>
    <w:rsid w:val="00923471"/>
    <w:rsid w:val="009429B1"/>
    <w:rsid w:val="009705FC"/>
    <w:rsid w:val="00977BCB"/>
    <w:rsid w:val="009815E0"/>
    <w:rsid w:val="00993A69"/>
    <w:rsid w:val="009B20B2"/>
    <w:rsid w:val="009B6A2C"/>
    <w:rsid w:val="009E27AB"/>
    <w:rsid w:val="009F2C4D"/>
    <w:rsid w:val="009F5768"/>
    <w:rsid w:val="009F5BCC"/>
    <w:rsid w:val="00A236F6"/>
    <w:rsid w:val="00A3078F"/>
    <w:rsid w:val="00A401FA"/>
    <w:rsid w:val="00A67B60"/>
    <w:rsid w:val="00A67FCE"/>
    <w:rsid w:val="00A74690"/>
    <w:rsid w:val="00A85D7B"/>
    <w:rsid w:val="00A90056"/>
    <w:rsid w:val="00AA162E"/>
    <w:rsid w:val="00AA5E64"/>
    <w:rsid w:val="00AA7370"/>
    <w:rsid w:val="00AB1A48"/>
    <w:rsid w:val="00AB27F1"/>
    <w:rsid w:val="00AB2B69"/>
    <w:rsid w:val="00AC2599"/>
    <w:rsid w:val="00AC36AA"/>
    <w:rsid w:val="00AD0B5A"/>
    <w:rsid w:val="00AD4CF4"/>
    <w:rsid w:val="00B02F55"/>
    <w:rsid w:val="00B119A5"/>
    <w:rsid w:val="00B13307"/>
    <w:rsid w:val="00B15221"/>
    <w:rsid w:val="00B23129"/>
    <w:rsid w:val="00B276F1"/>
    <w:rsid w:val="00B40E37"/>
    <w:rsid w:val="00B44470"/>
    <w:rsid w:val="00B54E1E"/>
    <w:rsid w:val="00B5647C"/>
    <w:rsid w:val="00B62735"/>
    <w:rsid w:val="00B647BD"/>
    <w:rsid w:val="00B83EE0"/>
    <w:rsid w:val="00BA216D"/>
    <w:rsid w:val="00BB0214"/>
    <w:rsid w:val="00BB1351"/>
    <w:rsid w:val="00BB2AF6"/>
    <w:rsid w:val="00BB3898"/>
    <w:rsid w:val="00BC61F0"/>
    <w:rsid w:val="00BD4C0F"/>
    <w:rsid w:val="00BD5723"/>
    <w:rsid w:val="00BE60A0"/>
    <w:rsid w:val="00BE60C4"/>
    <w:rsid w:val="00C12FCB"/>
    <w:rsid w:val="00C369A5"/>
    <w:rsid w:val="00C54C86"/>
    <w:rsid w:val="00C64479"/>
    <w:rsid w:val="00C71567"/>
    <w:rsid w:val="00C876BF"/>
    <w:rsid w:val="00C92499"/>
    <w:rsid w:val="00C9259F"/>
    <w:rsid w:val="00C9768F"/>
    <w:rsid w:val="00CA4A00"/>
    <w:rsid w:val="00CB6DDC"/>
    <w:rsid w:val="00CC6874"/>
    <w:rsid w:val="00CD22C4"/>
    <w:rsid w:val="00CD2AFA"/>
    <w:rsid w:val="00CF203B"/>
    <w:rsid w:val="00CF2BB9"/>
    <w:rsid w:val="00D104A7"/>
    <w:rsid w:val="00D15DBA"/>
    <w:rsid w:val="00D1703D"/>
    <w:rsid w:val="00D415CE"/>
    <w:rsid w:val="00D533D2"/>
    <w:rsid w:val="00D55B31"/>
    <w:rsid w:val="00D641CC"/>
    <w:rsid w:val="00D737B2"/>
    <w:rsid w:val="00D816B4"/>
    <w:rsid w:val="00D86262"/>
    <w:rsid w:val="00D8654B"/>
    <w:rsid w:val="00DA017B"/>
    <w:rsid w:val="00DC08C3"/>
    <w:rsid w:val="00DC5F2B"/>
    <w:rsid w:val="00DD099D"/>
    <w:rsid w:val="00DD15F7"/>
    <w:rsid w:val="00DD27BF"/>
    <w:rsid w:val="00DD3CDA"/>
    <w:rsid w:val="00DE592A"/>
    <w:rsid w:val="00DF1D62"/>
    <w:rsid w:val="00DF572F"/>
    <w:rsid w:val="00DF6FD2"/>
    <w:rsid w:val="00E13F74"/>
    <w:rsid w:val="00E16FE1"/>
    <w:rsid w:val="00E26B1D"/>
    <w:rsid w:val="00E37A7A"/>
    <w:rsid w:val="00E40A62"/>
    <w:rsid w:val="00E427DA"/>
    <w:rsid w:val="00E55BE5"/>
    <w:rsid w:val="00E8423C"/>
    <w:rsid w:val="00E85D1F"/>
    <w:rsid w:val="00E944AB"/>
    <w:rsid w:val="00EB4DC9"/>
    <w:rsid w:val="00EC0E57"/>
    <w:rsid w:val="00EE0B70"/>
    <w:rsid w:val="00EE193D"/>
    <w:rsid w:val="00EE1D33"/>
    <w:rsid w:val="00EF15E4"/>
    <w:rsid w:val="00F02241"/>
    <w:rsid w:val="00F07A7C"/>
    <w:rsid w:val="00F42B4A"/>
    <w:rsid w:val="00F5009C"/>
    <w:rsid w:val="00F53442"/>
    <w:rsid w:val="00F820F7"/>
    <w:rsid w:val="00F9467E"/>
    <w:rsid w:val="00FB3D68"/>
    <w:rsid w:val="00FB4D6D"/>
    <w:rsid w:val="00FC5194"/>
    <w:rsid w:val="00FE51C7"/>
    <w:rsid w:val="00FF0FDC"/>
    <w:rsid w:val="00FF2950"/>
    <w:rsid w:val="00FF41A0"/>
    <w:rsid w:val="01400C69"/>
    <w:rsid w:val="023D3627"/>
    <w:rsid w:val="02C17BD4"/>
    <w:rsid w:val="02F634A5"/>
    <w:rsid w:val="03605133"/>
    <w:rsid w:val="03B16EFA"/>
    <w:rsid w:val="0459378E"/>
    <w:rsid w:val="063F0A13"/>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DDE16B8"/>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35E5076"/>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572983"/>
    <w:rsid w:val="62BC14D0"/>
    <w:rsid w:val="63F40370"/>
    <w:rsid w:val="658B1D37"/>
    <w:rsid w:val="66346B36"/>
    <w:rsid w:val="664E0FB5"/>
    <w:rsid w:val="668C4E54"/>
    <w:rsid w:val="66EE5C84"/>
    <w:rsid w:val="676E431C"/>
    <w:rsid w:val="68D3186B"/>
    <w:rsid w:val="69700539"/>
    <w:rsid w:val="699A52B8"/>
    <w:rsid w:val="6D80255D"/>
    <w:rsid w:val="6E99612D"/>
    <w:rsid w:val="6F3F1566"/>
    <w:rsid w:val="70C311EF"/>
    <w:rsid w:val="726B0282"/>
    <w:rsid w:val="726B6897"/>
    <w:rsid w:val="74180ECA"/>
    <w:rsid w:val="7612083A"/>
    <w:rsid w:val="77AD2C99"/>
    <w:rsid w:val="7BA00C3C"/>
    <w:rsid w:val="7CC01A26"/>
    <w:rsid w:val="7DCA5D8C"/>
    <w:rsid w:val="7E4707FF"/>
    <w:rsid w:val="7E6235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9"/>
    <w:pPr>
      <w:widowControl/>
      <w:spacing w:before="100" w:beforeAutospacing="1" w:after="100" w:afterAutospacing="1"/>
      <w:jc w:val="left"/>
      <w:outlineLvl w:val="0"/>
    </w:pPr>
    <w:rPr>
      <w:rFonts w:ascii="Times New Roman" w:hAnsi="Times New Roman" w:cs="Times New Roman"/>
      <w:b/>
      <w:bCs/>
      <w:kern w:val="36"/>
      <w:sz w:val="48"/>
      <w:szCs w:val="48"/>
    </w:rPr>
  </w:style>
  <w:style w:type="paragraph" w:styleId="3">
    <w:name w:val="heading 2"/>
    <w:basedOn w:val="1"/>
    <w:next w:val="1"/>
    <w:link w:val="40"/>
    <w:semiHidden/>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39"/>
    <w:qFormat/>
    <w:uiPriority w:val="0"/>
    <w:pPr>
      <w:keepNext/>
      <w:keepLines/>
      <w:spacing w:before="260" w:after="260" w:line="416" w:lineRule="auto"/>
      <w:outlineLvl w:val="2"/>
    </w:pPr>
    <w:rPr>
      <w:rFonts w:ascii="Calibri" w:hAnsi="Calibri" w:eastAsia="宋体" w:cs="Times New Roman"/>
      <w:b/>
      <w:bCs/>
      <w:kern w:val="0"/>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50"/>
    <w:semiHidden/>
    <w:unhideWhenUsed/>
    <w:qFormat/>
    <w:uiPriority w:val="99"/>
    <w:pPr>
      <w:jc w:val="left"/>
    </w:pPr>
  </w:style>
  <w:style w:type="paragraph" w:styleId="6">
    <w:name w:val="Balloon Text"/>
    <w:basedOn w:val="1"/>
    <w:link w:val="27"/>
    <w:unhideWhenUsed/>
    <w:qFormat/>
    <w:uiPriority w:val="99"/>
    <w:rPr>
      <w:sz w:val="18"/>
      <w:szCs w:val="18"/>
    </w:rPr>
  </w:style>
  <w:style w:type="paragraph" w:styleId="7">
    <w:name w:val="footer"/>
    <w:basedOn w:val="1"/>
    <w:link w:val="26"/>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jc w:val="left"/>
    </w:pPr>
    <w:rPr>
      <w:rFonts w:cs="Times New Roman"/>
      <w:kern w:val="0"/>
    </w:rPr>
  </w:style>
  <w:style w:type="paragraph" w:styleId="10">
    <w:name w:val="annotation subject"/>
    <w:basedOn w:val="5"/>
    <w:next w:val="5"/>
    <w:link w:val="51"/>
    <w:semiHidden/>
    <w:unhideWhenUsed/>
    <w:qFormat/>
    <w:uiPriority w:val="99"/>
    <w:rPr>
      <w:b/>
      <w:bCs/>
    </w:rPr>
  </w:style>
  <w:style w:type="table" w:styleId="12">
    <w:name w:val="Table Grid"/>
    <w:basedOn w:val="11"/>
    <w:qFormat/>
    <w:uiPriority w:val="59"/>
    <w:rPr>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4">
    <w:name w:val="Strong"/>
    <w:basedOn w:val="13"/>
    <w:qFormat/>
    <w:uiPriority w:val="22"/>
    <w:rPr>
      <w:b/>
      <w:bCs/>
    </w:rPr>
  </w:style>
  <w:style w:type="character" w:styleId="15">
    <w:name w:val="FollowedHyperlink"/>
    <w:basedOn w:val="13"/>
    <w:semiHidden/>
    <w:unhideWhenUsed/>
    <w:qFormat/>
    <w:uiPriority w:val="99"/>
    <w:rPr>
      <w:color w:val="800080"/>
      <w:u w:val="none"/>
    </w:rPr>
  </w:style>
  <w:style w:type="character" w:styleId="16">
    <w:name w:val="Emphasis"/>
    <w:basedOn w:val="13"/>
    <w:qFormat/>
    <w:uiPriority w:val="0"/>
    <w:rPr>
      <w:i/>
    </w:rPr>
  </w:style>
  <w:style w:type="character" w:styleId="17">
    <w:name w:val="HTML Definition"/>
    <w:basedOn w:val="13"/>
    <w:semiHidden/>
    <w:unhideWhenUsed/>
    <w:qFormat/>
    <w:uiPriority w:val="99"/>
    <w:rPr>
      <w:i/>
    </w:rPr>
  </w:style>
  <w:style w:type="character" w:styleId="18">
    <w:name w:val="Hyperlink"/>
    <w:basedOn w:val="13"/>
    <w:qFormat/>
    <w:uiPriority w:val="99"/>
    <w:rPr>
      <w:color w:val="0000FF"/>
      <w:u w:val="single"/>
    </w:rPr>
  </w:style>
  <w:style w:type="character" w:styleId="19">
    <w:name w:val="HTML Code"/>
    <w:basedOn w:val="13"/>
    <w:semiHidden/>
    <w:unhideWhenUsed/>
    <w:qFormat/>
    <w:uiPriority w:val="99"/>
    <w:rPr>
      <w:rFonts w:ascii="Consolas" w:hAnsi="Consolas" w:eastAsia="Consolas" w:cs="Consolas"/>
      <w:color w:val="C7254E"/>
      <w:sz w:val="21"/>
      <w:szCs w:val="21"/>
      <w:shd w:val="clear" w:color="auto" w:fill="F9F2F4"/>
    </w:rPr>
  </w:style>
  <w:style w:type="character" w:styleId="20">
    <w:name w:val="annotation reference"/>
    <w:basedOn w:val="13"/>
    <w:semiHidden/>
    <w:unhideWhenUsed/>
    <w:qFormat/>
    <w:uiPriority w:val="99"/>
    <w:rPr>
      <w:sz w:val="21"/>
      <w:szCs w:val="21"/>
    </w:rPr>
  </w:style>
  <w:style w:type="character" w:styleId="21">
    <w:name w:val="HTML Keyboard"/>
    <w:basedOn w:val="13"/>
    <w:semiHidden/>
    <w:unhideWhenUsed/>
    <w:qFormat/>
    <w:uiPriority w:val="99"/>
    <w:rPr>
      <w:rFonts w:hint="default" w:ascii="Consolas" w:hAnsi="Consolas" w:eastAsia="Consolas" w:cs="Consolas"/>
      <w:color w:val="FFFFFF"/>
      <w:sz w:val="21"/>
      <w:szCs w:val="21"/>
      <w:shd w:val="clear" w:color="auto" w:fill="333333"/>
    </w:rPr>
  </w:style>
  <w:style w:type="character" w:styleId="22">
    <w:name w:val="HTML Sample"/>
    <w:basedOn w:val="13"/>
    <w:semiHidden/>
    <w:unhideWhenUsed/>
    <w:qFormat/>
    <w:uiPriority w:val="99"/>
    <w:rPr>
      <w:rFonts w:hint="default" w:ascii="Consolas" w:hAnsi="Consolas" w:eastAsia="Consolas" w:cs="Consolas"/>
      <w:sz w:val="21"/>
      <w:szCs w:val="21"/>
    </w:rPr>
  </w:style>
  <w:style w:type="character" w:customStyle="1" w:styleId="23">
    <w:name w:val="标题 1 字符"/>
    <w:basedOn w:val="13"/>
    <w:link w:val="2"/>
    <w:qFormat/>
    <w:uiPriority w:val="9"/>
    <w:rPr>
      <w:rFonts w:ascii="Times New Roman" w:hAnsi="Times New Roman" w:cs="Times New Roman"/>
      <w:b/>
      <w:bCs/>
      <w:kern w:val="36"/>
      <w:sz w:val="48"/>
      <w:szCs w:val="48"/>
    </w:rPr>
  </w:style>
  <w:style w:type="paragraph" w:customStyle="1" w:styleId="24">
    <w:name w:val="custom_unionstyle"/>
    <w:basedOn w:val="1"/>
    <w:qFormat/>
    <w:uiPriority w:val="0"/>
    <w:pPr>
      <w:widowControl/>
      <w:spacing w:before="100" w:beforeAutospacing="1" w:after="100" w:afterAutospacing="1"/>
      <w:jc w:val="left"/>
    </w:pPr>
    <w:rPr>
      <w:rFonts w:ascii="Times New Roman" w:hAnsi="Times New Roman" w:cs="Times New Roman"/>
      <w:kern w:val="0"/>
    </w:rPr>
  </w:style>
  <w:style w:type="character" w:customStyle="1" w:styleId="25">
    <w:name w:val="页眉 字符"/>
    <w:basedOn w:val="13"/>
    <w:link w:val="8"/>
    <w:qFormat/>
    <w:uiPriority w:val="99"/>
    <w:rPr>
      <w:sz w:val="18"/>
      <w:szCs w:val="18"/>
    </w:rPr>
  </w:style>
  <w:style w:type="character" w:customStyle="1" w:styleId="26">
    <w:name w:val="页脚 字符"/>
    <w:basedOn w:val="13"/>
    <w:link w:val="7"/>
    <w:qFormat/>
    <w:uiPriority w:val="99"/>
    <w:rPr>
      <w:sz w:val="18"/>
      <w:szCs w:val="18"/>
    </w:rPr>
  </w:style>
  <w:style w:type="character" w:customStyle="1" w:styleId="27">
    <w:name w:val="批注框文本 字符"/>
    <w:basedOn w:val="13"/>
    <w:link w:val="6"/>
    <w:qFormat/>
    <w:uiPriority w:val="99"/>
    <w:rPr>
      <w:kern w:val="2"/>
      <w:sz w:val="18"/>
      <w:szCs w:val="18"/>
    </w:rPr>
  </w:style>
  <w:style w:type="paragraph" w:customStyle="1" w:styleId="28">
    <w:name w:val="p0"/>
    <w:basedOn w:val="1"/>
    <w:qFormat/>
    <w:uiPriority w:val="0"/>
    <w:pPr>
      <w:widowControl/>
    </w:pPr>
    <w:rPr>
      <w:kern w:val="0"/>
      <w:szCs w:val="21"/>
    </w:rPr>
  </w:style>
  <w:style w:type="character" w:customStyle="1" w:styleId="29">
    <w:name w:val="nth-child(1)"/>
    <w:basedOn w:val="13"/>
    <w:qFormat/>
    <w:uiPriority w:val="0"/>
  </w:style>
  <w:style w:type="character" w:customStyle="1" w:styleId="30">
    <w:name w:val="nth-child(1)1"/>
    <w:basedOn w:val="13"/>
    <w:qFormat/>
    <w:uiPriority w:val="0"/>
    <w:rPr>
      <w:bdr w:val="single" w:color="auto" w:sz="12" w:space="0"/>
    </w:rPr>
  </w:style>
  <w:style w:type="character" w:customStyle="1" w:styleId="31">
    <w:name w:val="last-child1"/>
    <w:basedOn w:val="13"/>
    <w:qFormat/>
    <w:uiPriority w:val="0"/>
    <w:rPr>
      <w:color w:val="FB334B"/>
    </w:rPr>
  </w:style>
  <w:style w:type="character" w:customStyle="1" w:styleId="32">
    <w:name w:val="nth-child(3)"/>
    <w:basedOn w:val="13"/>
    <w:qFormat/>
    <w:uiPriority w:val="0"/>
  </w:style>
  <w:style w:type="character" w:customStyle="1" w:styleId="33">
    <w:name w:val="first-child"/>
    <w:basedOn w:val="13"/>
    <w:qFormat/>
    <w:uiPriority w:val="0"/>
    <w:rPr>
      <w:color w:val="999999"/>
    </w:rPr>
  </w:style>
  <w:style w:type="character" w:customStyle="1" w:styleId="34">
    <w:name w:val="font31"/>
    <w:basedOn w:val="13"/>
    <w:qFormat/>
    <w:uiPriority w:val="0"/>
    <w:rPr>
      <w:rFonts w:hint="eastAsia" w:ascii="宋体" w:hAnsi="宋体" w:eastAsia="宋体" w:cs="宋体"/>
      <w:color w:val="000000"/>
      <w:sz w:val="24"/>
      <w:szCs w:val="24"/>
      <w:u w:val="none"/>
    </w:rPr>
  </w:style>
  <w:style w:type="character" w:customStyle="1" w:styleId="35">
    <w:name w:val="font01"/>
    <w:basedOn w:val="13"/>
    <w:qFormat/>
    <w:uiPriority w:val="0"/>
    <w:rPr>
      <w:rFonts w:hint="eastAsia" w:ascii="宋体" w:hAnsi="宋体" w:eastAsia="宋体" w:cs="宋体"/>
      <w:color w:val="FF0000"/>
      <w:sz w:val="24"/>
      <w:szCs w:val="24"/>
      <w:u w:val="none"/>
    </w:rPr>
  </w:style>
  <w:style w:type="character" w:customStyle="1" w:styleId="36">
    <w:name w:val="font11"/>
    <w:basedOn w:val="13"/>
    <w:qFormat/>
    <w:uiPriority w:val="0"/>
    <w:rPr>
      <w:rFonts w:hint="default" w:ascii="Arial" w:hAnsi="Arial" w:cs="Arial"/>
      <w:color w:val="000000"/>
      <w:sz w:val="20"/>
      <w:szCs w:val="20"/>
      <w:u w:val="none"/>
    </w:rPr>
  </w:style>
  <w:style w:type="character" w:customStyle="1" w:styleId="37">
    <w:name w:val="font21"/>
    <w:basedOn w:val="13"/>
    <w:qFormat/>
    <w:uiPriority w:val="0"/>
    <w:rPr>
      <w:rFonts w:hint="eastAsia" w:ascii="宋体" w:hAnsi="宋体" w:eastAsia="宋体" w:cs="宋体"/>
      <w:color w:val="000000"/>
      <w:sz w:val="20"/>
      <w:szCs w:val="20"/>
      <w:u w:val="none"/>
    </w:rPr>
  </w:style>
  <w:style w:type="character" w:customStyle="1" w:styleId="38">
    <w:name w:val="标题 2 Char"/>
    <w:basedOn w:val="13"/>
    <w:semiHidden/>
    <w:qFormat/>
    <w:uiPriority w:val="9"/>
    <w:rPr>
      <w:rFonts w:asciiTheme="majorHAnsi" w:hAnsiTheme="majorHAnsi" w:eastAsiaTheme="majorEastAsia" w:cstheme="majorBidi"/>
      <w:b/>
      <w:bCs/>
      <w:kern w:val="2"/>
      <w:sz w:val="32"/>
      <w:szCs w:val="32"/>
    </w:rPr>
  </w:style>
  <w:style w:type="character" w:customStyle="1" w:styleId="39">
    <w:name w:val="标题 3 字符1"/>
    <w:basedOn w:val="13"/>
    <w:link w:val="4"/>
    <w:qFormat/>
    <w:uiPriority w:val="0"/>
    <w:rPr>
      <w:rFonts w:ascii="Calibri" w:hAnsi="Calibri"/>
      <w:b/>
      <w:bCs/>
      <w:sz w:val="32"/>
      <w:szCs w:val="32"/>
    </w:rPr>
  </w:style>
  <w:style w:type="character" w:customStyle="1" w:styleId="40">
    <w:name w:val="标题 2 字符"/>
    <w:basedOn w:val="13"/>
    <w:link w:val="3"/>
    <w:semiHidden/>
    <w:qFormat/>
    <w:uiPriority w:val="9"/>
    <w:rPr>
      <w:rFonts w:ascii="等线 Light" w:hAnsi="等线 Light" w:eastAsia="等线 Light"/>
      <w:b/>
      <w:bCs/>
      <w:kern w:val="2"/>
      <w:sz w:val="32"/>
      <w:szCs w:val="32"/>
    </w:rPr>
  </w:style>
  <w:style w:type="character" w:customStyle="1" w:styleId="41">
    <w:name w:val="标题 3 字符"/>
    <w:basedOn w:val="13"/>
    <w:qFormat/>
    <w:uiPriority w:val="0"/>
    <w:rPr>
      <w:rFonts w:asciiTheme="minorHAnsi" w:hAnsiTheme="minorHAnsi" w:eastAsiaTheme="minorEastAsia" w:cstheme="minorBidi"/>
      <w:b/>
      <w:bCs/>
      <w:kern w:val="2"/>
      <w:sz w:val="32"/>
      <w:szCs w:val="32"/>
    </w:rPr>
  </w:style>
  <w:style w:type="character" w:customStyle="1" w:styleId="42">
    <w:name w:val="页眉 字符2"/>
    <w:basedOn w:val="13"/>
    <w:qFormat/>
    <w:uiPriority w:val="99"/>
    <w:rPr>
      <w:sz w:val="18"/>
      <w:szCs w:val="18"/>
    </w:rPr>
  </w:style>
  <w:style w:type="character" w:customStyle="1" w:styleId="43">
    <w:name w:val="页脚 字符2"/>
    <w:basedOn w:val="13"/>
    <w:qFormat/>
    <w:uiPriority w:val="99"/>
    <w:rPr>
      <w:sz w:val="18"/>
      <w:szCs w:val="18"/>
    </w:rPr>
  </w:style>
  <w:style w:type="character" w:customStyle="1" w:styleId="44">
    <w:name w:val="批注框文本 字符2"/>
    <w:basedOn w:val="13"/>
    <w:semiHidden/>
    <w:qFormat/>
    <w:uiPriority w:val="99"/>
    <w:rPr>
      <w:rFonts w:ascii="楷体" w:hAnsi="楷体" w:eastAsia="楷体" w:cs="楷体"/>
      <w:sz w:val="18"/>
      <w:szCs w:val="18"/>
    </w:rPr>
  </w:style>
  <w:style w:type="character" w:customStyle="1" w:styleId="45">
    <w:name w:val="标题 1 字符1"/>
    <w:basedOn w:val="13"/>
    <w:qFormat/>
    <w:uiPriority w:val="9"/>
    <w:rPr>
      <w:rFonts w:ascii="Times New Roman" w:hAnsi="Times New Roman" w:eastAsia="楷体" w:cs="Times New Roman"/>
      <w:b/>
      <w:bCs/>
      <w:kern w:val="36"/>
      <w:sz w:val="48"/>
      <w:szCs w:val="48"/>
    </w:rPr>
  </w:style>
  <w:style w:type="character" w:customStyle="1" w:styleId="46">
    <w:name w:val="批注框文本 字符1"/>
    <w:semiHidden/>
    <w:qFormat/>
    <w:uiPriority w:val="99"/>
    <w:rPr>
      <w:rFonts w:ascii="楷体" w:hAnsi="楷体" w:eastAsia="楷体" w:cs="楷体"/>
      <w:sz w:val="18"/>
      <w:szCs w:val="18"/>
    </w:rPr>
  </w:style>
  <w:style w:type="character" w:customStyle="1" w:styleId="47">
    <w:name w:val="页眉 字符1"/>
    <w:semiHidden/>
    <w:uiPriority w:val="99"/>
    <w:rPr>
      <w:rFonts w:ascii="楷体" w:hAnsi="楷体" w:eastAsia="楷体" w:cs="楷体"/>
      <w:sz w:val="18"/>
      <w:szCs w:val="18"/>
    </w:rPr>
  </w:style>
  <w:style w:type="character" w:customStyle="1" w:styleId="48">
    <w:name w:val="页脚 字符1"/>
    <w:semiHidden/>
    <w:qFormat/>
    <w:uiPriority w:val="99"/>
    <w:rPr>
      <w:rFonts w:ascii="楷体" w:hAnsi="楷体" w:eastAsia="楷体" w:cs="楷体"/>
      <w:sz w:val="18"/>
      <w:szCs w:val="18"/>
    </w:rPr>
  </w:style>
  <w:style w:type="paragraph" w:styleId="49">
    <w:name w:val="List Paragraph"/>
    <w:basedOn w:val="1"/>
    <w:qFormat/>
    <w:uiPriority w:val="99"/>
    <w:pPr>
      <w:spacing w:line="520" w:lineRule="exact"/>
      <w:ind w:firstLine="420" w:firstLineChars="200"/>
    </w:pPr>
    <w:rPr>
      <w:rFonts w:ascii="楷体" w:hAnsi="楷体" w:eastAsia="楷体" w:cs="楷体"/>
      <w:sz w:val="28"/>
      <w:szCs w:val="28"/>
    </w:rPr>
  </w:style>
  <w:style w:type="character" w:customStyle="1" w:styleId="50">
    <w:name w:val="批注文字 字符"/>
    <w:basedOn w:val="13"/>
    <w:link w:val="5"/>
    <w:semiHidden/>
    <w:qFormat/>
    <w:uiPriority w:val="99"/>
    <w:rPr>
      <w:rFonts w:asciiTheme="minorHAnsi" w:hAnsiTheme="minorHAnsi" w:eastAsiaTheme="minorEastAsia" w:cstheme="minorBidi"/>
      <w:kern w:val="2"/>
      <w:sz w:val="24"/>
      <w:szCs w:val="24"/>
    </w:rPr>
  </w:style>
  <w:style w:type="character" w:customStyle="1" w:styleId="51">
    <w:name w:val="批注主题 字符"/>
    <w:basedOn w:val="50"/>
    <w:link w:val="10"/>
    <w:semiHidden/>
    <w:qFormat/>
    <w:uiPriority w:val="99"/>
    <w:rPr>
      <w:rFonts w:asciiTheme="minorHAnsi" w:hAnsiTheme="minorHAnsi" w:eastAsiaTheme="minorEastAsia" w:cstheme="minorBidi"/>
      <w:b/>
      <w:bCs/>
      <w:kern w:val="2"/>
      <w:sz w:val="24"/>
      <w:szCs w:val="24"/>
    </w:rPr>
  </w:style>
  <w:style w:type="paragraph" w:customStyle="1" w:styleId="52">
    <w:name w:val="msonormal"/>
    <w:basedOn w:val="1"/>
    <w:uiPriority w:val="0"/>
    <w:pPr>
      <w:widowControl/>
      <w:spacing w:before="100" w:beforeAutospacing="1" w:after="100" w:afterAutospacing="1"/>
      <w:jc w:val="left"/>
    </w:pPr>
    <w:rPr>
      <w:rFonts w:ascii="宋体" w:hAnsi="宋体" w:eastAsia="宋体" w:cs="宋体"/>
      <w:kern w:val="0"/>
    </w:rPr>
  </w:style>
  <w:style w:type="paragraph" w:customStyle="1" w:styleId="53">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54">
    <w:name w:val="xl63"/>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黑体" w:hAnsi="黑体" w:eastAsia="黑体" w:cs="宋体"/>
      <w:kern w:val="0"/>
    </w:rPr>
  </w:style>
  <w:style w:type="paragraph" w:customStyle="1" w:styleId="55">
    <w:name w:val="xl64"/>
    <w:basedOn w:val="1"/>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黑体" w:hAnsi="黑体" w:eastAsia="黑体" w:cs="宋体"/>
      <w:kern w:val="0"/>
    </w:rPr>
  </w:style>
  <w:style w:type="paragraph" w:customStyle="1" w:styleId="56">
    <w:name w:val="xl65"/>
    <w:basedOn w:val="1"/>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华文楷体" w:hAnsi="华文楷体" w:eastAsia="华文楷体" w:cs="宋体"/>
      <w:kern w:val="0"/>
      <w:sz w:val="18"/>
      <w:szCs w:val="18"/>
    </w:rPr>
  </w:style>
  <w:style w:type="paragraph" w:customStyle="1" w:styleId="57">
    <w:name w:val="xl66"/>
    <w:basedOn w:val="1"/>
    <w:uiPriority w:val="0"/>
    <w:pPr>
      <w:widowControl/>
      <w:pBdr>
        <w:bottom w:val="single" w:color="auto" w:sz="8" w:space="0"/>
        <w:right w:val="single" w:color="auto" w:sz="8" w:space="0"/>
      </w:pBdr>
      <w:spacing w:before="100" w:beforeAutospacing="1" w:after="100" w:afterAutospacing="1"/>
      <w:jc w:val="center"/>
      <w:textAlignment w:val="center"/>
    </w:pPr>
    <w:rPr>
      <w:rFonts w:ascii="华文楷体" w:hAnsi="华文楷体" w:eastAsia="华文楷体" w:cs="宋体"/>
      <w:kern w:val="0"/>
      <w:sz w:val="18"/>
      <w:szCs w:val="18"/>
    </w:rPr>
  </w:style>
  <w:style w:type="paragraph" w:customStyle="1" w:styleId="58">
    <w:name w:val="xl67"/>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center"/>
    </w:pPr>
    <w:rPr>
      <w:rFonts w:ascii="华文楷体" w:hAnsi="华文楷体" w:eastAsia="华文楷体" w:cs="宋体"/>
      <w:kern w:val="0"/>
      <w:sz w:val="18"/>
      <w:szCs w:val="18"/>
    </w:rPr>
  </w:style>
  <w:style w:type="paragraph" w:customStyle="1" w:styleId="59">
    <w:name w:val="xl68"/>
    <w:basedOn w:val="1"/>
    <w:uiPriority w:val="0"/>
    <w:pPr>
      <w:widowControl/>
      <w:pBdr>
        <w:bottom w:val="single" w:color="auto" w:sz="8" w:space="0"/>
        <w:right w:val="single" w:color="auto" w:sz="8" w:space="0"/>
      </w:pBdr>
      <w:spacing w:before="100" w:beforeAutospacing="1" w:after="100" w:afterAutospacing="1"/>
      <w:textAlignment w:val="center"/>
    </w:pPr>
    <w:rPr>
      <w:rFonts w:ascii="华文楷体" w:hAnsi="华文楷体" w:eastAsia="华文楷体" w:cs="宋体"/>
      <w:kern w:val="0"/>
      <w:sz w:val="18"/>
      <w:szCs w:val="18"/>
    </w:rPr>
  </w:style>
  <w:style w:type="paragraph" w:customStyle="1" w:styleId="60">
    <w:name w:val="xl69"/>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华文楷体" w:hAnsi="华文楷体" w:eastAsia="华文楷体" w:cs="宋体"/>
      <w:color w:val="000000"/>
      <w:kern w:val="0"/>
      <w:sz w:val="18"/>
      <w:szCs w:val="18"/>
    </w:rPr>
  </w:style>
  <w:style w:type="paragraph" w:customStyle="1" w:styleId="61">
    <w:name w:val="xl70"/>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华文楷体" w:hAnsi="华文楷体" w:eastAsia="华文楷体" w:cs="宋体"/>
      <w:kern w:val="0"/>
      <w:sz w:val="18"/>
      <w:szCs w:val="18"/>
    </w:rPr>
  </w:style>
  <w:style w:type="paragraph" w:customStyle="1" w:styleId="62">
    <w:name w:val="xl71"/>
    <w:basedOn w:val="1"/>
    <w:uiPriority w:val="0"/>
    <w:pPr>
      <w:widowControl/>
      <w:spacing w:before="100" w:beforeAutospacing="1" w:after="100" w:afterAutospacing="1"/>
      <w:jc w:val="center"/>
    </w:pPr>
    <w:rPr>
      <w:rFonts w:ascii="宋体" w:hAnsi="宋体" w:eastAsia="宋体" w:cs="宋体"/>
      <w:kern w:val="0"/>
    </w:rPr>
  </w:style>
  <w:style w:type="paragraph" w:customStyle="1" w:styleId="63">
    <w:name w:val="修订1"/>
    <w:hidden/>
    <w:unhideWhenUsed/>
    <w:uiPriority w:val="99"/>
    <w:rPr>
      <w:rFonts w:asciiTheme="minorHAnsi" w:hAnsiTheme="minorHAnsi"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D6568-0C5C-4F50-B9B1-178FC89A7CF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5941</Words>
  <Characters>33865</Characters>
  <Lines>282</Lines>
  <Paragraphs>79</Paragraphs>
  <TotalTime>6</TotalTime>
  <ScaleCrop>false</ScaleCrop>
  <LinksUpToDate>false</LinksUpToDate>
  <CharactersWithSpaces>39727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2020-01-15T09:05:00Z</dcterms:created>
  <dc:creator>hao tong</dc:creator>
  <cp:lastModifiedBy>海宇图文广告</cp:lastModifiedBy>
  <cp:lastPrinted>2018-12-06T01:39:00Z</cp:lastPrinted>
  <dcterms:modified xsi:type="dcterms:W3CDTF">2023-06-28T09:58:45Z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81AA0C08DD044F1CADCCE6CB2FB86396_13</vt:lpwstr>
  </property>
</Properties>
</file>